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5F7" w:rsidRDefault="006A55F7" w:rsidP="006A55F7">
      <w:pPr>
        <w:rPr>
          <w:b/>
          <w:sz w:val="28"/>
        </w:rPr>
      </w:pPr>
      <w:r>
        <w:rPr>
          <w:b/>
          <w:sz w:val="28"/>
        </w:rPr>
        <w:t>Sustainability Metrics Module - Case Study</w:t>
      </w:r>
      <w:r w:rsidRPr="00361E07">
        <w:rPr>
          <w:b/>
          <w:sz w:val="28"/>
        </w:rPr>
        <w:t xml:space="preserve"> </w:t>
      </w:r>
      <w:r>
        <w:rPr>
          <w:b/>
          <w:sz w:val="28"/>
        </w:rPr>
        <w:t>1</w:t>
      </w:r>
    </w:p>
    <w:p w:rsidR="006A55F7" w:rsidRDefault="006A55F7">
      <w:pPr>
        <w:rPr>
          <w:b/>
        </w:rPr>
      </w:pPr>
      <w:r w:rsidRPr="006A55F7">
        <w:rPr>
          <w:b/>
        </w:rPr>
        <w:t xml:space="preserve"> Fender Formulation Case study</w:t>
      </w:r>
    </w:p>
    <w:p w:rsidR="006A55F7" w:rsidRPr="006A55F7" w:rsidRDefault="006A55F7" w:rsidP="006A55F7">
      <w:pPr>
        <w:ind w:left="360"/>
      </w:pPr>
      <w:r w:rsidRPr="006A55F7">
        <w:t>The first case analyzed here involves comparing five different automobile fenders made of steel, aluminum, and three different plastics formulations (Saur et al. 2000).</w:t>
      </w:r>
    </w:p>
    <w:p w:rsidR="00A114D7" w:rsidRDefault="006A55F7" w:rsidP="00804F75">
      <w:pPr>
        <w:ind w:left="360"/>
      </w:pPr>
      <w:r w:rsidRPr="006A55F7">
        <w:t xml:space="preserve">Twelve indicators including energy, water, and resource use, as well as waste and emissions generated were used to compare the different options. </w:t>
      </w:r>
    </w:p>
    <w:tbl>
      <w:tblPr>
        <w:tblStyle w:val="LightShading"/>
        <w:tblW w:w="6863" w:type="dxa"/>
        <w:tblLook w:val="06A0" w:firstRow="1" w:lastRow="0" w:firstColumn="1" w:lastColumn="0" w:noHBand="1" w:noVBand="1"/>
      </w:tblPr>
      <w:tblGrid>
        <w:gridCol w:w="1660"/>
        <w:gridCol w:w="980"/>
        <w:gridCol w:w="980"/>
        <w:gridCol w:w="980"/>
        <w:gridCol w:w="1283"/>
        <w:gridCol w:w="980"/>
      </w:tblGrid>
      <w:tr w:rsidR="00A114D7" w:rsidRPr="00A114D7" w:rsidTr="00804F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 </w:t>
            </w:r>
          </w:p>
        </w:tc>
        <w:tc>
          <w:tcPr>
            <w:tcW w:w="980" w:type="dxa"/>
            <w:hideMark/>
          </w:tcPr>
          <w:p w:rsidR="00A114D7" w:rsidRPr="00A114D7" w:rsidRDefault="00A114D7" w:rsidP="00A114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Al</w:t>
            </w:r>
          </w:p>
        </w:tc>
        <w:tc>
          <w:tcPr>
            <w:tcW w:w="980" w:type="dxa"/>
            <w:hideMark/>
          </w:tcPr>
          <w:p w:rsidR="00A114D7" w:rsidRPr="00A114D7" w:rsidRDefault="00A114D7" w:rsidP="00A114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St</w:t>
            </w:r>
          </w:p>
        </w:tc>
        <w:tc>
          <w:tcPr>
            <w:tcW w:w="980" w:type="dxa"/>
            <w:hideMark/>
          </w:tcPr>
          <w:p w:rsidR="00A114D7" w:rsidRPr="00A114D7" w:rsidRDefault="00A114D7" w:rsidP="00A114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PC/PBT</w:t>
            </w:r>
          </w:p>
        </w:tc>
        <w:tc>
          <w:tcPr>
            <w:tcW w:w="1283" w:type="dxa"/>
            <w:hideMark/>
          </w:tcPr>
          <w:p w:rsidR="00A114D7" w:rsidRPr="00A114D7" w:rsidRDefault="00A114D7" w:rsidP="00A114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PP/ EPDM</w:t>
            </w:r>
          </w:p>
        </w:tc>
        <w:tc>
          <w:tcPr>
            <w:tcW w:w="980" w:type="dxa"/>
            <w:hideMark/>
          </w:tcPr>
          <w:p w:rsidR="00A114D7" w:rsidRPr="00A114D7" w:rsidRDefault="00A114D7" w:rsidP="00A114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PPO/PA</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energy</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1290</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i/>
                <w:iCs/>
                <w:color w:val="008000"/>
                <w:sz w:val="20"/>
                <w:szCs w:val="20"/>
              </w:rPr>
            </w:pPr>
            <w:r w:rsidRPr="00A114D7">
              <w:rPr>
                <w:rFonts w:ascii="Arial" w:eastAsia="Times New Roman" w:hAnsi="Arial" w:cs="Arial"/>
                <w:b/>
                <w:bCs/>
                <w:i/>
                <w:iCs/>
                <w:color w:val="008000"/>
                <w:sz w:val="20"/>
                <w:szCs w:val="20"/>
              </w:rPr>
              <w:t>1120</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1060</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810</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1080</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resources</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15</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25</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18</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i/>
                <w:iCs/>
                <w:color w:val="008000"/>
                <w:sz w:val="20"/>
                <w:szCs w:val="20"/>
              </w:rPr>
            </w:pPr>
            <w:r w:rsidRPr="00A114D7">
              <w:rPr>
                <w:rFonts w:ascii="Arial" w:eastAsia="Times New Roman" w:hAnsi="Arial" w:cs="Arial"/>
                <w:b/>
                <w:bCs/>
                <w:i/>
                <w:iCs/>
                <w:color w:val="008000"/>
                <w:sz w:val="20"/>
                <w:szCs w:val="20"/>
              </w:rPr>
              <w:t>14</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21</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water</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36</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27</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22</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17</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25</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GWP</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104</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105</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83</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62</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115</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ODP</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0.1</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0.4</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0.2</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1.2</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AP</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28</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19</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20</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i/>
                <w:iCs/>
                <w:color w:val="008000"/>
                <w:sz w:val="20"/>
                <w:szCs w:val="20"/>
              </w:rPr>
            </w:pPr>
            <w:r w:rsidRPr="00A114D7">
              <w:rPr>
                <w:rFonts w:ascii="Arial" w:eastAsia="Times New Roman" w:hAnsi="Arial" w:cs="Arial"/>
                <w:b/>
                <w:bCs/>
                <w:i/>
                <w:iCs/>
                <w:color w:val="008000"/>
                <w:sz w:val="20"/>
                <w:szCs w:val="20"/>
              </w:rPr>
              <w:t>16</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20</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EP</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4.4</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4.2</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3.9</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i/>
                <w:iCs/>
                <w:color w:val="008000"/>
                <w:sz w:val="20"/>
                <w:szCs w:val="20"/>
              </w:rPr>
            </w:pPr>
            <w:r w:rsidRPr="00A114D7">
              <w:rPr>
                <w:rFonts w:ascii="Arial" w:eastAsia="Times New Roman" w:hAnsi="Arial" w:cs="Arial"/>
                <w:b/>
                <w:bCs/>
                <w:i/>
                <w:iCs/>
                <w:color w:val="008000"/>
                <w:sz w:val="20"/>
                <w:szCs w:val="20"/>
              </w:rPr>
              <w:t>3.5</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7.2</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POCP</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6.7</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9.2</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8.7</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8</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9.1</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proofErr w:type="spellStart"/>
            <w:r w:rsidRPr="00A114D7">
              <w:rPr>
                <w:rFonts w:ascii="Arial" w:eastAsia="Times New Roman" w:hAnsi="Arial" w:cs="Arial"/>
                <w:sz w:val="20"/>
                <w:szCs w:val="20"/>
              </w:rPr>
              <w:t>Htox</w:t>
            </w:r>
            <w:proofErr w:type="spellEnd"/>
            <w:r w:rsidRPr="00A114D7">
              <w:rPr>
                <w:rFonts w:ascii="Arial" w:eastAsia="Times New Roman" w:hAnsi="Arial" w:cs="Arial"/>
                <w:sz w:val="20"/>
                <w:szCs w:val="20"/>
              </w:rPr>
              <w:t xml:space="preserve"> air</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3.8</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3.7</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2.5</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i/>
                <w:iCs/>
                <w:color w:val="008000"/>
                <w:sz w:val="20"/>
                <w:szCs w:val="20"/>
              </w:rPr>
            </w:pPr>
            <w:r w:rsidRPr="00A114D7">
              <w:rPr>
                <w:rFonts w:ascii="Arial" w:eastAsia="Times New Roman" w:hAnsi="Arial" w:cs="Arial"/>
                <w:b/>
                <w:bCs/>
                <w:i/>
                <w:iCs/>
                <w:color w:val="008000"/>
                <w:sz w:val="20"/>
                <w:szCs w:val="20"/>
              </w:rPr>
              <w:t>1.9</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2.5</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proofErr w:type="spellStart"/>
            <w:r w:rsidRPr="00A114D7">
              <w:rPr>
                <w:rFonts w:ascii="Arial" w:eastAsia="Times New Roman" w:hAnsi="Arial" w:cs="Arial"/>
                <w:sz w:val="20"/>
                <w:szCs w:val="20"/>
              </w:rPr>
              <w:t>Htox</w:t>
            </w:r>
            <w:proofErr w:type="spellEnd"/>
            <w:r w:rsidRPr="00A114D7">
              <w:rPr>
                <w:rFonts w:ascii="Arial" w:eastAsia="Times New Roman" w:hAnsi="Arial" w:cs="Arial"/>
                <w:sz w:val="20"/>
                <w:szCs w:val="20"/>
              </w:rPr>
              <w:t xml:space="preserve"> water</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0.66</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0.92</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0.99</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0.62</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0.74</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 xml:space="preserve">Eco </w:t>
            </w:r>
            <w:proofErr w:type="spellStart"/>
            <w:r w:rsidRPr="00A114D7">
              <w:rPr>
                <w:rFonts w:ascii="Arial" w:eastAsia="Times New Roman" w:hAnsi="Arial" w:cs="Arial"/>
                <w:sz w:val="20"/>
                <w:szCs w:val="20"/>
              </w:rPr>
              <w:t>tox</w:t>
            </w:r>
            <w:proofErr w:type="spellEnd"/>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2.9</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3.4</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2.7</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1.9</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2.4</w:t>
            </w:r>
          </w:p>
        </w:tc>
      </w:tr>
      <w:tr w:rsidR="00A114D7" w:rsidRPr="00A114D7" w:rsidTr="00804F75">
        <w:trPr>
          <w:trHeight w:val="402"/>
        </w:trPr>
        <w:tc>
          <w:tcPr>
            <w:cnfStyle w:val="001000000000" w:firstRow="0" w:lastRow="0" w:firstColumn="1" w:lastColumn="0" w:oddVBand="0" w:evenVBand="0" w:oddHBand="0" w:evenHBand="0" w:firstRowFirstColumn="0" w:firstRowLastColumn="0" w:lastRowFirstColumn="0" w:lastRowLastColumn="0"/>
            <w:tcW w:w="1660" w:type="dxa"/>
            <w:noWrap/>
            <w:hideMark/>
          </w:tcPr>
          <w:p w:rsidR="00A114D7" w:rsidRPr="00A114D7" w:rsidRDefault="00A114D7" w:rsidP="00A114D7">
            <w:pPr>
              <w:rPr>
                <w:rFonts w:ascii="Arial" w:eastAsia="Times New Roman" w:hAnsi="Arial" w:cs="Arial"/>
                <w:sz w:val="20"/>
                <w:szCs w:val="20"/>
              </w:rPr>
            </w:pPr>
            <w:r w:rsidRPr="00A114D7">
              <w:rPr>
                <w:rFonts w:ascii="Arial" w:eastAsia="Times New Roman" w:hAnsi="Arial" w:cs="Arial"/>
                <w:sz w:val="20"/>
                <w:szCs w:val="20"/>
              </w:rPr>
              <w:t>waste</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20"/>
                <w:szCs w:val="20"/>
              </w:rPr>
            </w:pPr>
            <w:r w:rsidRPr="00A114D7">
              <w:rPr>
                <w:rFonts w:ascii="Arial" w:eastAsia="Times New Roman" w:hAnsi="Arial" w:cs="Arial"/>
                <w:b/>
                <w:bCs/>
                <w:color w:val="FF0000"/>
                <w:sz w:val="20"/>
                <w:szCs w:val="20"/>
              </w:rPr>
              <w:t>3.7</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1.2</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A114D7">
              <w:rPr>
                <w:rFonts w:ascii="Arial" w:eastAsia="Times New Roman" w:hAnsi="Arial" w:cs="Arial"/>
                <w:sz w:val="20"/>
                <w:szCs w:val="20"/>
              </w:rPr>
              <w:t>1</w:t>
            </w:r>
          </w:p>
        </w:tc>
        <w:tc>
          <w:tcPr>
            <w:tcW w:w="1283"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0.25</w:t>
            </w:r>
          </w:p>
        </w:tc>
        <w:tc>
          <w:tcPr>
            <w:tcW w:w="980" w:type="dxa"/>
            <w:noWrap/>
            <w:hideMark/>
          </w:tcPr>
          <w:p w:rsidR="00A114D7" w:rsidRPr="00A114D7" w:rsidRDefault="00A114D7" w:rsidP="00A114D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8000"/>
                <w:sz w:val="20"/>
                <w:szCs w:val="20"/>
              </w:rPr>
            </w:pPr>
            <w:r w:rsidRPr="00A114D7">
              <w:rPr>
                <w:rFonts w:ascii="Arial" w:eastAsia="Times New Roman" w:hAnsi="Arial" w:cs="Arial"/>
                <w:b/>
                <w:bCs/>
                <w:color w:val="008000"/>
                <w:sz w:val="20"/>
                <w:szCs w:val="20"/>
              </w:rPr>
              <w:t>0.25</w:t>
            </w:r>
          </w:p>
        </w:tc>
      </w:tr>
    </w:tbl>
    <w:p w:rsidR="00A114D7" w:rsidRPr="006A55F7" w:rsidRDefault="00A114D7" w:rsidP="00A114D7">
      <w:pPr>
        <w:ind w:left="360"/>
      </w:pPr>
    </w:p>
    <w:p w:rsidR="00A114D7" w:rsidRDefault="00A114D7" w:rsidP="00A114D7">
      <w:r w:rsidRPr="00456452">
        <w:rPr>
          <w:b/>
        </w:rPr>
        <w:t>Query 1:</w:t>
      </w:r>
      <w:r>
        <w:t xml:space="preserve"> Map the indicators on a </w:t>
      </w:r>
      <w:proofErr w:type="spellStart"/>
      <w:r>
        <w:t>venn</w:t>
      </w:r>
      <w:proofErr w:type="spellEnd"/>
      <w:r>
        <w:t xml:space="preserve"> diagram as 1D, 2D and 3D indicators. Justify why you put it in a given category of indicators.</w:t>
      </w:r>
    </w:p>
    <w:p w:rsidR="00456452" w:rsidRDefault="00456452" w:rsidP="00456452">
      <w:r w:rsidRPr="00F3200A">
        <w:rPr>
          <w:b/>
        </w:rPr>
        <w:t>Answer:</w:t>
      </w:r>
      <w:r>
        <w:t xml:space="preserve"> </w:t>
      </w:r>
    </w:p>
    <w:p w:rsidR="00456452" w:rsidRDefault="00456452" w:rsidP="00456452">
      <w:proofErr w:type="spellStart"/>
      <w:r>
        <w:t>Ecotoxicity</w:t>
      </w:r>
      <w:proofErr w:type="spellEnd"/>
      <w:r>
        <w:t>, Human Toxicity Air and Human Toxicity Water are categorized as environmental metrics. Water, Global Warming Potential, Ozone Depletion Potential, Acidification Potential, Eutrophication Potential, Photochemical Ozone Creation Potential, and Waste are categorized in eco-efficiency metrics. Energy and resources are 3D metrics, or sustainability metrics.</w:t>
      </w:r>
    </w:p>
    <w:p w:rsidR="00456452" w:rsidRDefault="00456452" w:rsidP="00A114D7">
      <w:r>
        <w:t>(Other analyses may also be true, for example Human Toxicity Air and Human Toxicity Water can be socio-ecological metrics)</w:t>
      </w:r>
    </w:p>
    <w:p w:rsidR="00A114D7" w:rsidRDefault="00A114D7" w:rsidP="00A114D7">
      <w:r>
        <w:rPr>
          <w:noProof/>
        </w:rPr>
        <w:lastRenderedPageBreak/>
        <w:drawing>
          <wp:inline distT="0" distB="0" distL="0" distR="0" wp14:anchorId="655B9E65">
            <wp:extent cx="5943600" cy="349623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496235"/>
                    </a:xfrm>
                    <a:prstGeom prst="rect">
                      <a:avLst/>
                    </a:prstGeom>
                    <a:noFill/>
                    <a:ln>
                      <a:noFill/>
                    </a:ln>
                    <a:effectLst/>
                  </pic:spPr>
                </pic:pic>
              </a:graphicData>
            </a:graphic>
          </wp:inline>
        </w:drawing>
      </w:r>
    </w:p>
    <w:p w:rsidR="00456452" w:rsidRDefault="00B37DBC" w:rsidP="00A114D7">
      <w:r w:rsidRPr="00B37DBC">
        <w:rPr>
          <w:b/>
        </w:rPr>
        <w:t>Query 2:</w:t>
      </w:r>
      <w:r>
        <w:t xml:space="preserve"> How do the indicators show on a radar plot?</w:t>
      </w:r>
    </w:p>
    <w:p w:rsidR="00B37DBC" w:rsidRDefault="00B37DBC" w:rsidP="00A114D7">
      <w:r w:rsidRPr="00B37DBC">
        <w:drawing>
          <wp:inline distT="0" distB="0" distL="0" distR="0" wp14:anchorId="01511546" wp14:editId="1EA9D26F">
            <wp:extent cx="59436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37DBC" w:rsidRDefault="00B37DBC" w:rsidP="00A114D7"/>
    <w:p w:rsidR="00B37DBC" w:rsidRDefault="00B37DBC" w:rsidP="00A114D7"/>
    <w:p w:rsidR="00B37DBC" w:rsidRDefault="00B37DBC" w:rsidP="00A114D7"/>
    <w:p w:rsidR="00B37DBC" w:rsidRDefault="00B37DBC" w:rsidP="00A114D7"/>
    <w:p w:rsidR="00456452" w:rsidRDefault="00B37DBC" w:rsidP="00A114D7">
      <w:r w:rsidRPr="00B37DBC">
        <w:rPr>
          <w:b/>
        </w:rPr>
        <w:lastRenderedPageBreak/>
        <w:t>Query 3:</w:t>
      </w:r>
      <w:r>
        <w:t xml:space="preserve"> Compute the Sustainability Footprint (De) by filling the blanks in the excel workbook.</w:t>
      </w:r>
    </w:p>
    <w:p w:rsidR="00B37DBC" w:rsidRDefault="00B37DBC" w:rsidP="00A114D7">
      <w:r w:rsidRPr="00B37DBC">
        <w:drawing>
          <wp:inline distT="0" distB="0" distL="0" distR="0" wp14:anchorId="4EB51D23" wp14:editId="152BA4A1">
            <wp:extent cx="5943600" cy="360284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602849"/>
                    </a:xfrm>
                    <a:prstGeom prst="rect">
                      <a:avLst/>
                    </a:prstGeom>
                    <a:noFill/>
                    <a:ln>
                      <a:noFill/>
                    </a:ln>
                  </pic:spPr>
                </pic:pic>
              </a:graphicData>
            </a:graphic>
          </wp:inline>
        </w:drawing>
      </w:r>
    </w:p>
    <w:p w:rsidR="00456452" w:rsidRPr="00B37DBC" w:rsidRDefault="00456452" w:rsidP="00A114D7">
      <w:pPr>
        <w:rPr>
          <w:b/>
        </w:rPr>
      </w:pPr>
      <w:r>
        <w:t xml:space="preserve"> </w:t>
      </w:r>
      <w:r w:rsidR="00B37DBC" w:rsidRPr="00B37DBC">
        <w:rPr>
          <w:b/>
        </w:rPr>
        <w:t>Answer:</w:t>
      </w:r>
    </w:p>
    <w:p w:rsidR="00A114D7" w:rsidRDefault="00804F75" w:rsidP="00A114D7">
      <w:r w:rsidRPr="00804F75">
        <w:drawing>
          <wp:inline distT="0" distB="0" distL="0" distR="0" wp14:anchorId="2E8BCD32" wp14:editId="444BC35E">
            <wp:extent cx="5943600" cy="3467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467100"/>
                    </a:xfrm>
                    <a:prstGeom prst="rect">
                      <a:avLst/>
                    </a:prstGeom>
                    <a:noFill/>
                    <a:ln>
                      <a:noFill/>
                    </a:ln>
                  </pic:spPr>
                </pic:pic>
              </a:graphicData>
            </a:graphic>
          </wp:inline>
        </w:drawing>
      </w:r>
    </w:p>
    <w:p w:rsidR="00804F75" w:rsidRDefault="00804F75" w:rsidP="00A114D7"/>
    <w:p w:rsidR="00804F75" w:rsidRDefault="00804F75" w:rsidP="00A114D7">
      <w:r w:rsidRPr="00804F75">
        <w:rPr>
          <w:b/>
        </w:rPr>
        <w:lastRenderedPageBreak/>
        <w:t>Query 4:</w:t>
      </w:r>
      <w:r>
        <w:t xml:space="preserve"> Plot the De and conclude which is the best fender formulation option.</w:t>
      </w:r>
    </w:p>
    <w:p w:rsidR="00804F75" w:rsidRDefault="00804F75" w:rsidP="00A114D7">
      <w:r w:rsidRPr="00804F75">
        <w:drawing>
          <wp:inline distT="0" distB="0" distL="0" distR="0" wp14:anchorId="3D2171E4" wp14:editId="471B12B7">
            <wp:extent cx="5943600" cy="2674620"/>
            <wp:effectExtent l="0" t="0" r="1905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114D7" w:rsidRDefault="00804F75" w:rsidP="00A114D7">
      <w:r>
        <w:t xml:space="preserve">Conclude that the PP/EPDM formulation is the best based on the lowest De. </w:t>
      </w: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p>
    <w:p w:rsidR="00804F75" w:rsidRDefault="00804F75" w:rsidP="00804F75">
      <w:pPr>
        <w:rPr>
          <w:b/>
          <w:sz w:val="28"/>
        </w:rPr>
      </w:pPr>
      <w:r>
        <w:rPr>
          <w:b/>
          <w:sz w:val="28"/>
        </w:rPr>
        <w:lastRenderedPageBreak/>
        <w:t>Sustainability Metrics Module - Case Study</w:t>
      </w:r>
      <w:r w:rsidRPr="00361E07">
        <w:rPr>
          <w:b/>
          <w:sz w:val="28"/>
        </w:rPr>
        <w:t xml:space="preserve"> </w:t>
      </w:r>
      <w:r>
        <w:rPr>
          <w:b/>
          <w:sz w:val="28"/>
        </w:rPr>
        <w:t>2</w:t>
      </w:r>
    </w:p>
    <w:p w:rsidR="00804F75" w:rsidRDefault="00804F75" w:rsidP="00804F75">
      <w:pPr>
        <w:rPr>
          <w:b/>
        </w:rPr>
      </w:pPr>
      <w:r>
        <w:rPr>
          <w:b/>
        </w:rPr>
        <w:t>Automotive Shredder Residue</w:t>
      </w:r>
      <w:r w:rsidRPr="006A55F7">
        <w:rPr>
          <w:b/>
        </w:rPr>
        <w:t xml:space="preserve"> Case study</w:t>
      </w:r>
    </w:p>
    <w:p w:rsidR="00ED139C" w:rsidRDefault="00804F75" w:rsidP="00804F75">
      <w:r>
        <w:t>This case study demonstrates a method to compare among options when</w:t>
      </w:r>
      <w:r w:rsidRPr="00804F75">
        <w:t xml:space="preserve"> negative values of indicators </w:t>
      </w:r>
      <w:r w:rsidR="00ED139C">
        <w:t xml:space="preserve">are present. </w:t>
      </w:r>
    </w:p>
    <w:p w:rsidR="00804F75" w:rsidRPr="00804F75" w:rsidRDefault="00ED139C" w:rsidP="00804F75">
      <w:r>
        <w:t>I</w:t>
      </w:r>
      <w:r w:rsidR="00804F75" w:rsidRPr="00804F75">
        <w:t>n an interesting case of sustainably managing automotive shredder re</w:t>
      </w:r>
      <w:r>
        <w:t>sidues (</w:t>
      </w:r>
      <w:proofErr w:type="spellStart"/>
      <w:r>
        <w:t>Vermeulen</w:t>
      </w:r>
      <w:proofErr w:type="spellEnd"/>
      <w:r>
        <w:t xml:space="preserve"> et al. 2012):</w:t>
      </w:r>
    </w:p>
    <w:p w:rsidR="00804F75" w:rsidRPr="00804F75" w:rsidRDefault="00804F75" w:rsidP="000F6AD5">
      <w:pPr>
        <w:numPr>
          <w:ilvl w:val="0"/>
          <w:numId w:val="2"/>
        </w:numPr>
        <w:tabs>
          <w:tab w:val="clear" w:pos="720"/>
        </w:tabs>
        <w:ind w:left="360"/>
      </w:pPr>
      <w:r w:rsidRPr="00804F75">
        <w:t>Four process options to consider for recommending the option that is the most sustainable among the options:</w:t>
      </w:r>
    </w:p>
    <w:p w:rsidR="00804F75" w:rsidRPr="00804F75" w:rsidRDefault="00804F75" w:rsidP="00804F75">
      <w:r w:rsidRPr="00804F75">
        <w:t xml:space="preserve">(1) </w:t>
      </w:r>
      <w:proofErr w:type="gramStart"/>
      <w:r w:rsidRPr="00804F75">
        <w:t>landfilling</w:t>
      </w:r>
      <w:proofErr w:type="gramEnd"/>
      <w:r w:rsidRPr="00804F75">
        <w:t xml:space="preserve">, </w:t>
      </w:r>
    </w:p>
    <w:p w:rsidR="00804F75" w:rsidRPr="00804F75" w:rsidRDefault="00804F75" w:rsidP="00804F75">
      <w:r w:rsidRPr="00804F75">
        <w:t xml:space="preserve">(2) </w:t>
      </w:r>
      <w:proofErr w:type="gramStart"/>
      <w:r w:rsidRPr="00804F75">
        <w:t>recycling</w:t>
      </w:r>
      <w:proofErr w:type="gramEnd"/>
      <w:r w:rsidRPr="00804F75">
        <w:t xml:space="preserve"> the metal values coupled with landfilling the rest,</w:t>
      </w:r>
    </w:p>
    <w:p w:rsidR="00804F75" w:rsidRPr="00804F75" w:rsidRDefault="00804F75" w:rsidP="00804F75">
      <w:r w:rsidRPr="00804F75">
        <w:t xml:space="preserve">(3) </w:t>
      </w:r>
      <w:proofErr w:type="gramStart"/>
      <w:r w:rsidRPr="00804F75">
        <w:t>energy</w:t>
      </w:r>
      <w:proofErr w:type="gramEnd"/>
      <w:r w:rsidRPr="00804F75">
        <w:t xml:space="preserve"> recovery, and</w:t>
      </w:r>
    </w:p>
    <w:p w:rsidR="00804F75" w:rsidRPr="00804F75" w:rsidRDefault="00804F75" w:rsidP="00804F75">
      <w:r w:rsidRPr="00804F75">
        <w:t xml:space="preserve">(4) </w:t>
      </w:r>
      <w:proofErr w:type="gramStart"/>
      <w:r w:rsidRPr="00804F75">
        <w:t>recycling</w:t>
      </w:r>
      <w:proofErr w:type="gramEnd"/>
      <w:r w:rsidRPr="00804F75">
        <w:t xml:space="preserve"> metal values and recovering energy from the rest. </w:t>
      </w:r>
    </w:p>
    <w:p w:rsidR="00804F75" w:rsidRPr="00804F75" w:rsidRDefault="00804F75" w:rsidP="000F6AD5">
      <w:pPr>
        <w:numPr>
          <w:ilvl w:val="1"/>
          <w:numId w:val="3"/>
        </w:numPr>
        <w:tabs>
          <w:tab w:val="clear" w:pos="1440"/>
        </w:tabs>
        <w:ind w:left="360"/>
      </w:pPr>
      <w:r w:rsidRPr="00804F75">
        <w:t xml:space="preserve">Nine metrics, all normalized to one metric ton of automotive shredder residue, for comparative sustainability analysis of these four process options: </w:t>
      </w:r>
    </w:p>
    <w:p w:rsidR="00804F75" w:rsidRPr="00804F75" w:rsidRDefault="00804F75" w:rsidP="00804F75">
      <w:r w:rsidRPr="00804F75">
        <w:t xml:space="preserve">(1) </w:t>
      </w:r>
      <w:proofErr w:type="gramStart"/>
      <w:r w:rsidRPr="00804F75">
        <w:t>energy</w:t>
      </w:r>
      <w:proofErr w:type="gramEnd"/>
      <w:r w:rsidRPr="00804F75">
        <w:t xml:space="preserve"> intensity, </w:t>
      </w:r>
    </w:p>
    <w:p w:rsidR="00804F75" w:rsidRPr="00804F75" w:rsidRDefault="00804F75" w:rsidP="00804F75">
      <w:r w:rsidRPr="00804F75">
        <w:t xml:space="preserve">(2) </w:t>
      </w:r>
      <w:proofErr w:type="gramStart"/>
      <w:r w:rsidRPr="00804F75">
        <w:t>material</w:t>
      </w:r>
      <w:proofErr w:type="gramEnd"/>
      <w:r w:rsidRPr="00804F75">
        <w:t xml:space="preserve"> intensity, </w:t>
      </w:r>
    </w:p>
    <w:p w:rsidR="00804F75" w:rsidRPr="00804F75" w:rsidRDefault="00804F75" w:rsidP="00804F75">
      <w:r w:rsidRPr="00804F75">
        <w:t xml:space="preserve">(3) </w:t>
      </w:r>
      <w:proofErr w:type="gramStart"/>
      <w:r w:rsidRPr="00804F75">
        <w:t>water</w:t>
      </w:r>
      <w:proofErr w:type="gramEnd"/>
      <w:r w:rsidRPr="00804F75">
        <w:t xml:space="preserve"> consumption,</w:t>
      </w:r>
    </w:p>
    <w:p w:rsidR="00804F75" w:rsidRPr="00804F75" w:rsidRDefault="00804F75" w:rsidP="00804F75">
      <w:r w:rsidRPr="00804F75">
        <w:t xml:space="preserve">(4) </w:t>
      </w:r>
      <w:proofErr w:type="gramStart"/>
      <w:r w:rsidRPr="00804F75">
        <w:t>land</w:t>
      </w:r>
      <w:proofErr w:type="gramEnd"/>
      <w:r w:rsidRPr="00804F75">
        <w:t xml:space="preserve"> use, </w:t>
      </w:r>
    </w:p>
    <w:p w:rsidR="00804F75" w:rsidRPr="00804F75" w:rsidRDefault="00804F75" w:rsidP="00804F75">
      <w:r w:rsidRPr="00804F75">
        <w:t xml:space="preserve">(5) </w:t>
      </w:r>
      <w:proofErr w:type="gramStart"/>
      <w:r w:rsidRPr="00804F75">
        <w:t>short-term</w:t>
      </w:r>
      <w:proofErr w:type="gramEnd"/>
      <w:r w:rsidRPr="00804F75">
        <w:t xml:space="preserve"> global warming potential, </w:t>
      </w:r>
    </w:p>
    <w:p w:rsidR="00804F75" w:rsidRPr="00804F75" w:rsidRDefault="00804F75" w:rsidP="00804F75">
      <w:r w:rsidRPr="00804F75">
        <w:t xml:space="preserve">(6) </w:t>
      </w:r>
      <w:proofErr w:type="gramStart"/>
      <w:r w:rsidRPr="00804F75">
        <w:t>long-term</w:t>
      </w:r>
      <w:proofErr w:type="gramEnd"/>
      <w:r w:rsidRPr="00804F75">
        <w:t xml:space="preserve"> global warming potential,</w:t>
      </w:r>
    </w:p>
    <w:p w:rsidR="00804F75" w:rsidRPr="00804F75" w:rsidRDefault="00804F75" w:rsidP="00804F75">
      <w:r w:rsidRPr="00804F75">
        <w:t xml:space="preserve">(7) </w:t>
      </w:r>
      <w:proofErr w:type="gramStart"/>
      <w:r w:rsidRPr="00804F75">
        <w:t>short-term</w:t>
      </w:r>
      <w:proofErr w:type="gramEnd"/>
      <w:r w:rsidRPr="00804F75">
        <w:t xml:space="preserve"> human toxicity impact, </w:t>
      </w:r>
    </w:p>
    <w:p w:rsidR="00804F75" w:rsidRPr="00804F75" w:rsidRDefault="00804F75" w:rsidP="00804F75">
      <w:r w:rsidRPr="00804F75">
        <w:t xml:space="preserve">(8) </w:t>
      </w:r>
      <w:proofErr w:type="gramStart"/>
      <w:r w:rsidRPr="00804F75">
        <w:t>long-term</w:t>
      </w:r>
      <w:proofErr w:type="gramEnd"/>
      <w:r w:rsidRPr="00804F75">
        <w:t xml:space="preserve"> human toxicity impact, and </w:t>
      </w:r>
    </w:p>
    <w:p w:rsidR="00804F75" w:rsidRPr="00804F75" w:rsidRDefault="00804F75" w:rsidP="00804F75">
      <w:r w:rsidRPr="00804F75">
        <w:t xml:space="preserve">(9) </w:t>
      </w:r>
      <w:proofErr w:type="gramStart"/>
      <w:r w:rsidRPr="00804F75">
        <w:t>treatment</w:t>
      </w:r>
      <w:proofErr w:type="gramEnd"/>
      <w:r w:rsidRPr="00804F75">
        <w:t xml:space="preserve"> cost.</w:t>
      </w:r>
    </w:p>
    <w:p w:rsidR="00804F75" w:rsidRDefault="000F6AD5" w:rsidP="00A114D7">
      <w:r>
        <w:t>Analyze which of these processes is the best option.</w:t>
      </w:r>
    </w:p>
    <w:p w:rsidR="000F6AD5" w:rsidRDefault="000F6AD5" w:rsidP="00A114D7">
      <w:pPr>
        <w:rPr>
          <w:b/>
        </w:rPr>
      </w:pPr>
      <w:r w:rsidRPr="000F6AD5">
        <w:rPr>
          <w:b/>
        </w:rPr>
        <w:t>Query 1</w:t>
      </w:r>
      <w:r w:rsidR="00BE43DB">
        <w:rPr>
          <w:b/>
        </w:rPr>
        <w:t>:</w:t>
      </w:r>
      <w:r w:rsidRPr="000F6AD5">
        <w:rPr>
          <w:b/>
        </w:rPr>
        <w:t xml:space="preserve"> </w:t>
      </w:r>
      <w:r w:rsidRPr="000F6AD5">
        <w:t xml:space="preserve">From the Table given in the Excel Sheet compare the </w:t>
      </w:r>
      <w:r>
        <w:t xml:space="preserve">indicators for the various options. Reflect on which of the strategies is best option according to the information given by each metric. </w:t>
      </w:r>
    </w:p>
    <w:p w:rsidR="000F6AD5" w:rsidRDefault="000F6AD5" w:rsidP="00A114D7">
      <w:pPr>
        <w:rPr>
          <w:b/>
        </w:rPr>
      </w:pPr>
      <w:r w:rsidRPr="000F6AD5">
        <w:lastRenderedPageBreak/>
        <w:drawing>
          <wp:inline distT="0" distB="0" distL="0" distR="0" wp14:anchorId="63AFE6F3" wp14:editId="6E3BE452">
            <wp:extent cx="5943600" cy="128224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282249"/>
                    </a:xfrm>
                    <a:prstGeom prst="rect">
                      <a:avLst/>
                    </a:prstGeom>
                    <a:noFill/>
                    <a:ln>
                      <a:noFill/>
                    </a:ln>
                  </pic:spPr>
                </pic:pic>
              </a:graphicData>
            </a:graphic>
          </wp:inline>
        </w:drawing>
      </w:r>
    </w:p>
    <w:p w:rsidR="00BE43DB" w:rsidRPr="00BE43DB" w:rsidRDefault="00BE43DB" w:rsidP="00A114D7">
      <w:pPr>
        <w:rPr>
          <w:b/>
        </w:rPr>
      </w:pPr>
      <w:r w:rsidRPr="00BE43DB">
        <w:rPr>
          <w:b/>
        </w:rPr>
        <w:t>Answer:</w:t>
      </w:r>
    </w:p>
    <w:p w:rsidR="00B31425" w:rsidRPr="003576FF" w:rsidRDefault="00B31425" w:rsidP="00A114D7">
      <w:r w:rsidRPr="003576FF">
        <w:t xml:space="preserve">EI suggests </w:t>
      </w:r>
      <w:proofErr w:type="spellStart"/>
      <w:r w:rsidRPr="003576FF">
        <w:t>recycle+energy</w:t>
      </w:r>
      <w:proofErr w:type="spellEnd"/>
      <w:r w:rsidRPr="003576FF">
        <w:t xml:space="preserve"> recovery is the best</w:t>
      </w:r>
      <w:r w:rsidR="003576FF" w:rsidRPr="003576FF">
        <w:t xml:space="preserve"> </w:t>
      </w:r>
      <w:r w:rsidR="003576FF">
        <w:t>option</w:t>
      </w:r>
    </w:p>
    <w:p w:rsidR="00B31425" w:rsidRPr="003576FF" w:rsidRDefault="00B31425" w:rsidP="00A114D7">
      <w:r w:rsidRPr="003576FF">
        <w:t xml:space="preserve">MI suggests </w:t>
      </w:r>
      <w:proofErr w:type="spellStart"/>
      <w:r w:rsidRPr="003576FF">
        <w:t>recycle+energy</w:t>
      </w:r>
      <w:proofErr w:type="spellEnd"/>
      <w:r w:rsidR="003576FF" w:rsidRPr="003576FF">
        <w:t xml:space="preserve"> recovery is the best </w:t>
      </w:r>
      <w:r w:rsidR="003576FF">
        <w:t>option</w:t>
      </w:r>
    </w:p>
    <w:p w:rsidR="00B31425" w:rsidRPr="003576FF" w:rsidRDefault="003576FF" w:rsidP="00B31425">
      <w:r w:rsidRPr="003576FF">
        <w:t>WC</w:t>
      </w:r>
      <w:r w:rsidR="00B31425" w:rsidRPr="003576FF">
        <w:t xml:space="preserve"> suggests </w:t>
      </w:r>
      <w:proofErr w:type="spellStart"/>
      <w:r w:rsidR="00B31425" w:rsidRPr="003576FF">
        <w:t>recycle+energy</w:t>
      </w:r>
      <w:proofErr w:type="spellEnd"/>
      <w:r w:rsidR="00B31425" w:rsidRPr="003576FF">
        <w:t xml:space="preserve"> recovery is the best</w:t>
      </w:r>
      <w:r w:rsidRPr="003576FF">
        <w:t xml:space="preserve"> </w:t>
      </w:r>
      <w:r>
        <w:t>option</w:t>
      </w:r>
    </w:p>
    <w:p w:rsidR="003576FF" w:rsidRPr="003576FF" w:rsidRDefault="003576FF" w:rsidP="00B31425">
      <w:r w:rsidRPr="003576FF">
        <w:t>LU</w:t>
      </w:r>
      <w:r w:rsidR="00B31425" w:rsidRPr="003576FF">
        <w:t xml:space="preserve"> suggests </w:t>
      </w:r>
      <w:proofErr w:type="spellStart"/>
      <w:r w:rsidR="00B31425" w:rsidRPr="003576FF">
        <w:t>recy</w:t>
      </w:r>
      <w:r w:rsidRPr="003576FF">
        <w:t>cle+energy</w:t>
      </w:r>
      <w:proofErr w:type="spellEnd"/>
      <w:r w:rsidRPr="003576FF">
        <w:t xml:space="preserve"> recovery is the best </w:t>
      </w:r>
      <w:r>
        <w:t>option</w:t>
      </w:r>
    </w:p>
    <w:p w:rsidR="003576FF" w:rsidRPr="003576FF" w:rsidRDefault="003576FF" w:rsidP="00B31425">
      <w:r w:rsidRPr="003576FF">
        <w:t>GWLT</w:t>
      </w:r>
      <w:r w:rsidR="00B31425" w:rsidRPr="003576FF">
        <w:t xml:space="preserve"> </w:t>
      </w:r>
      <w:r w:rsidRPr="003576FF">
        <w:t xml:space="preserve">suggests </w:t>
      </w:r>
      <w:proofErr w:type="spellStart"/>
      <w:r w:rsidRPr="003576FF">
        <w:t>recycle+landfill</w:t>
      </w:r>
      <w:proofErr w:type="spellEnd"/>
      <w:r w:rsidRPr="003576FF">
        <w:t xml:space="preserve"> is the best </w:t>
      </w:r>
      <w:r>
        <w:t>option</w:t>
      </w:r>
    </w:p>
    <w:p w:rsidR="00B31425" w:rsidRPr="003576FF" w:rsidRDefault="003576FF" w:rsidP="00B31425">
      <w:r w:rsidRPr="003576FF">
        <w:t>GWST</w:t>
      </w:r>
      <w:r w:rsidR="00B31425" w:rsidRPr="003576FF">
        <w:t xml:space="preserve"> suggests </w:t>
      </w:r>
      <w:proofErr w:type="spellStart"/>
      <w:r w:rsidR="00B31425" w:rsidRPr="003576FF">
        <w:t>recycle+energy</w:t>
      </w:r>
      <w:proofErr w:type="spellEnd"/>
      <w:r w:rsidR="00B31425" w:rsidRPr="003576FF">
        <w:t xml:space="preserve"> recovery is the best</w:t>
      </w:r>
      <w:r w:rsidRPr="003576FF">
        <w:t xml:space="preserve"> </w:t>
      </w:r>
      <w:r>
        <w:t>option</w:t>
      </w:r>
    </w:p>
    <w:p w:rsidR="00B31425" w:rsidRPr="003576FF" w:rsidRDefault="003576FF" w:rsidP="00B31425">
      <w:r w:rsidRPr="003576FF">
        <w:t>HTLT</w:t>
      </w:r>
      <w:r w:rsidR="00B31425" w:rsidRPr="003576FF">
        <w:t xml:space="preserve"> suggests </w:t>
      </w:r>
      <w:proofErr w:type="spellStart"/>
      <w:r w:rsidR="00B31425" w:rsidRPr="003576FF">
        <w:t>recycle+energy</w:t>
      </w:r>
      <w:proofErr w:type="spellEnd"/>
      <w:r w:rsidR="00B31425" w:rsidRPr="003576FF">
        <w:t xml:space="preserve"> recovery is the best</w:t>
      </w:r>
      <w:r w:rsidRPr="003576FF">
        <w:t xml:space="preserve"> </w:t>
      </w:r>
      <w:r>
        <w:t>option</w:t>
      </w:r>
    </w:p>
    <w:p w:rsidR="003576FF" w:rsidRPr="003576FF" w:rsidRDefault="003576FF" w:rsidP="003576FF">
      <w:r w:rsidRPr="003576FF">
        <w:t xml:space="preserve">HTST suggests </w:t>
      </w:r>
      <w:proofErr w:type="spellStart"/>
      <w:r w:rsidRPr="003576FF">
        <w:t>recycle+energy</w:t>
      </w:r>
      <w:proofErr w:type="spellEnd"/>
      <w:r w:rsidRPr="003576FF">
        <w:t xml:space="preserve"> recovery is the best </w:t>
      </w:r>
      <w:r>
        <w:t>option</w:t>
      </w:r>
    </w:p>
    <w:p w:rsidR="00A114D7" w:rsidRDefault="003576FF" w:rsidP="00A114D7">
      <w:r>
        <w:t>TC suggests landfill is the best option</w:t>
      </w:r>
    </w:p>
    <w:p w:rsidR="00A114D7" w:rsidRDefault="00BE43DB" w:rsidP="00A114D7">
      <w:r w:rsidRPr="00BE43DB">
        <w:rPr>
          <w:b/>
        </w:rPr>
        <w:t>Query 2:</w:t>
      </w:r>
      <w:r>
        <w:t xml:space="preserve"> Complete the calculation for the De.</w:t>
      </w:r>
    </w:p>
    <w:p w:rsidR="00BE43DB" w:rsidRPr="00BE43DB" w:rsidRDefault="00BE43DB" w:rsidP="00A114D7">
      <w:pPr>
        <w:rPr>
          <w:b/>
        </w:rPr>
      </w:pPr>
      <w:r w:rsidRPr="00BE43DB">
        <w:rPr>
          <w:b/>
        </w:rPr>
        <w:t>Answer:</w:t>
      </w:r>
    </w:p>
    <w:p w:rsidR="00BE43DB" w:rsidRDefault="00BE43DB" w:rsidP="00A114D7">
      <w:r w:rsidRPr="00BE43DB">
        <w:drawing>
          <wp:inline distT="0" distB="0" distL="0" distR="0" wp14:anchorId="05401F7C" wp14:editId="0804829C">
            <wp:extent cx="5943600" cy="2832279"/>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832279"/>
                    </a:xfrm>
                    <a:prstGeom prst="rect">
                      <a:avLst/>
                    </a:prstGeom>
                    <a:noFill/>
                    <a:ln>
                      <a:noFill/>
                    </a:ln>
                  </pic:spPr>
                </pic:pic>
              </a:graphicData>
            </a:graphic>
          </wp:inline>
        </w:drawing>
      </w:r>
    </w:p>
    <w:p w:rsidR="00A114D7" w:rsidRDefault="00A95AB6" w:rsidP="00A114D7">
      <w:r w:rsidRPr="00022B22">
        <w:rPr>
          <w:b/>
        </w:rPr>
        <w:lastRenderedPageBreak/>
        <w:t>Query 3:</w:t>
      </w:r>
      <w:r>
        <w:t xml:space="preserve"> Plot the De on a graph and explain which one is the best option</w:t>
      </w:r>
      <w:r w:rsidR="00022B22">
        <w:t>. Also reflect upon the contribution of the indicators towards the sustainability footprint De.</w:t>
      </w:r>
    </w:p>
    <w:p w:rsidR="00022B22" w:rsidRPr="00022B22" w:rsidRDefault="00022B22" w:rsidP="00A114D7">
      <w:pPr>
        <w:rPr>
          <w:b/>
        </w:rPr>
      </w:pPr>
      <w:r w:rsidRPr="00022B22">
        <w:rPr>
          <w:b/>
        </w:rPr>
        <w:t xml:space="preserve">Answer: </w:t>
      </w:r>
    </w:p>
    <w:p w:rsidR="00A114D7" w:rsidRDefault="00831E7C" w:rsidP="00A114D7">
      <w:r>
        <w:rPr>
          <w:noProof/>
        </w:rPr>
        <w:drawing>
          <wp:inline distT="0" distB="0" distL="0" distR="0">
            <wp:extent cx="5943600" cy="2606098"/>
            <wp:effectExtent l="0" t="0" r="19050" b="22860"/>
            <wp:docPr id="12" name="Chart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114D7" w:rsidRDefault="007B39E9" w:rsidP="00A114D7">
      <w:r>
        <w:t xml:space="preserve">The contribution of the indicators can be interpreted from the Table above. Clearly, the </w:t>
      </w:r>
      <w:r w:rsidR="00214B3D">
        <w:t xml:space="preserve">indicators having normalized value of zero contribute towards making </w:t>
      </w:r>
      <w:proofErr w:type="spellStart"/>
      <w:r w:rsidR="00214B3D">
        <w:t>recycle+energy</w:t>
      </w:r>
      <w:proofErr w:type="spellEnd"/>
      <w:r w:rsidR="00214B3D">
        <w:t xml:space="preserve"> recovery the best option among others. However, this distinction is not so clear for other options, and we need a method like the sustainability footprint calculation to come to a single decision point for sustainability analysis.</w:t>
      </w:r>
    </w:p>
    <w:p w:rsidR="00214B3D" w:rsidRPr="00214B3D" w:rsidRDefault="00214B3D" w:rsidP="00A114D7">
      <w:pPr>
        <w:rPr>
          <w:b/>
        </w:rPr>
      </w:pPr>
      <w:bookmarkStart w:id="0" w:name="_GoBack"/>
      <w:r w:rsidRPr="00214B3D">
        <w:rPr>
          <w:b/>
        </w:rPr>
        <w:t>Reference:</w:t>
      </w:r>
    </w:p>
    <w:bookmarkEnd w:id="0"/>
    <w:p w:rsidR="00A114D7" w:rsidRDefault="00A114D7" w:rsidP="00A114D7">
      <w:r w:rsidRPr="00A114D7">
        <w:t xml:space="preserve">Saur C, Fava J, and </w:t>
      </w:r>
      <w:proofErr w:type="spellStart"/>
      <w:r w:rsidRPr="00A114D7">
        <w:t>Spatari</w:t>
      </w:r>
      <w:proofErr w:type="spellEnd"/>
      <w:r w:rsidRPr="00A114D7">
        <w:t xml:space="preserve"> S (2000) Life cycle engineering case study: automobile fender designs. </w:t>
      </w:r>
      <w:proofErr w:type="spellStart"/>
      <w:r w:rsidRPr="00A114D7">
        <w:t>Env</w:t>
      </w:r>
      <w:proofErr w:type="spellEnd"/>
      <w:r w:rsidRPr="00A114D7">
        <w:t xml:space="preserve"> </w:t>
      </w:r>
      <w:proofErr w:type="spellStart"/>
      <w:r w:rsidRPr="00A114D7">
        <w:t>Prog</w:t>
      </w:r>
      <w:proofErr w:type="spellEnd"/>
      <w:r w:rsidRPr="00A114D7">
        <w:t xml:space="preserve"> 19(2):72–82</w:t>
      </w:r>
    </w:p>
    <w:p w:rsidR="006A55F7" w:rsidRPr="00214B3D" w:rsidRDefault="00214B3D" w:rsidP="00214B3D">
      <w:proofErr w:type="spellStart"/>
      <w:r w:rsidRPr="00214B3D">
        <w:t>Vermeulen</w:t>
      </w:r>
      <w:proofErr w:type="spellEnd"/>
      <w:r w:rsidRPr="00214B3D">
        <w:t>, Isabel, et al. "Sustainability assessment of industrial waste treatment processes: The case of automotive shredder residue." Resources, Conservation and Recycling 69 (2012): 17-28.</w:t>
      </w:r>
    </w:p>
    <w:sectPr w:rsidR="006A55F7" w:rsidRPr="00214B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37C"/>
    <w:multiLevelType w:val="hybridMultilevel"/>
    <w:tmpl w:val="982EC72E"/>
    <w:lvl w:ilvl="0" w:tplc="EB3ACF34">
      <w:start w:val="1"/>
      <w:numFmt w:val="bullet"/>
      <w:lvlText w:val="•"/>
      <w:lvlJc w:val="left"/>
      <w:pPr>
        <w:tabs>
          <w:tab w:val="num" w:pos="720"/>
        </w:tabs>
        <w:ind w:left="720" w:hanging="360"/>
      </w:pPr>
      <w:rPr>
        <w:rFonts w:ascii="Arial" w:hAnsi="Arial" w:hint="default"/>
      </w:rPr>
    </w:lvl>
    <w:lvl w:ilvl="1" w:tplc="B7084A34" w:tentative="1">
      <w:start w:val="1"/>
      <w:numFmt w:val="bullet"/>
      <w:lvlText w:val="•"/>
      <w:lvlJc w:val="left"/>
      <w:pPr>
        <w:tabs>
          <w:tab w:val="num" w:pos="1440"/>
        </w:tabs>
        <w:ind w:left="1440" w:hanging="360"/>
      </w:pPr>
      <w:rPr>
        <w:rFonts w:ascii="Arial" w:hAnsi="Arial" w:hint="default"/>
      </w:rPr>
    </w:lvl>
    <w:lvl w:ilvl="2" w:tplc="2B721990" w:tentative="1">
      <w:start w:val="1"/>
      <w:numFmt w:val="bullet"/>
      <w:lvlText w:val="•"/>
      <w:lvlJc w:val="left"/>
      <w:pPr>
        <w:tabs>
          <w:tab w:val="num" w:pos="2160"/>
        </w:tabs>
        <w:ind w:left="2160" w:hanging="360"/>
      </w:pPr>
      <w:rPr>
        <w:rFonts w:ascii="Arial" w:hAnsi="Arial" w:hint="default"/>
      </w:rPr>
    </w:lvl>
    <w:lvl w:ilvl="3" w:tplc="ECC02A76" w:tentative="1">
      <w:start w:val="1"/>
      <w:numFmt w:val="bullet"/>
      <w:lvlText w:val="•"/>
      <w:lvlJc w:val="left"/>
      <w:pPr>
        <w:tabs>
          <w:tab w:val="num" w:pos="2880"/>
        </w:tabs>
        <w:ind w:left="2880" w:hanging="360"/>
      </w:pPr>
      <w:rPr>
        <w:rFonts w:ascii="Arial" w:hAnsi="Arial" w:hint="default"/>
      </w:rPr>
    </w:lvl>
    <w:lvl w:ilvl="4" w:tplc="747EA6B4" w:tentative="1">
      <w:start w:val="1"/>
      <w:numFmt w:val="bullet"/>
      <w:lvlText w:val="•"/>
      <w:lvlJc w:val="left"/>
      <w:pPr>
        <w:tabs>
          <w:tab w:val="num" w:pos="3600"/>
        </w:tabs>
        <w:ind w:left="3600" w:hanging="360"/>
      </w:pPr>
      <w:rPr>
        <w:rFonts w:ascii="Arial" w:hAnsi="Arial" w:hint="default"/>
      </w:rPr>
    </w:lvl>
    <w:lvl w:ilvl="5" w:tplc="D6562278" w:tentative="1">
      <w:start w:val="1"/>
      <w:numFmt w:val="bullet"/>
      <w:lvlText w:val="•"/>
      <w:lvlJc w:val="left"/>
      <w:pPr>
        <w:tabs>
          <w:tab w:val="num" w:pos="4320"/>
        </w:tabs>
        <w:ind w:left="4320" w:hanging="360"/>
      </w:pPr>
      <w:rPr>
        <w:rFonts w:ascii="Arial" w:hAnsi="Arial" w:hint="default"/>
      </w:rPr>
    </w:lvl>
    <w:lvl w:ilvl="6" w:tplc="BDDEA542" w:tentative="1">
      <w:start w:val="1"/>
      <w:numFmt w:val="bullet"/>
      <w:lvlText w:val="•"/>
      <w:lvlJc w:val="left"/>
      <w:pPr>
        <w:tabs>
          <w:tab w:val="num" w:pos="5040"/>
        </w:tabs>
        <w:ind w:left="5040" w:hanging="360"/>
      </w:pPr>
      <w:rPr>
        <w:rFonts w:ascii="Arial" w:hAnsi="Arial" w:hint="default"/>
      </w:rPr>
    </w:lvl>
    <w:lvl w:ilvl="7" w:tplc="4CDE3802" w:tentative="1">
      <w:start w:val="1"/>
      <w:numFmt w:val="bullet"/>
      <w:lvlText w:val="•"/>
      <w:lvlJc w:val="left"/>
      <w:pPr>
        <w:tabs>
          <w:tab w:val="num" w:pos="5760"/>
        </w:tabs>
        <w:ind w:left="5760" w:hanging="360"/>
      </w:pPr>
      <w:rPr>
        <w:rFonts w:ascii="Arial" w:hAnsi="Arial" w:hint="default"/>
      </w:rPr>
    </w:lvl>
    <w:lvl w:ilvl="8" w:tplc="01D0C268" w:tentative="1">
      <w:start w:val="1"/>
      <w:numFmt w:val="bullet"/>
      <w:lvlText w:val="•"/>
      <w:lvlJc w:val="left"/>
      <w:pPr>
        <w:tabs>
          <w:tab w:val="num" w:pos="6480"/>
        </w:tabs>
        <w:ind w:left="6480" w:hanging="360"/>
      </w:pPr>
      <w:rPr>
        <w:rFonts w:ascii="Arial" w:hAnsi="Arial" w:hint="default"/>
      </w:rPr>
    </w:lvl>
  </w:abstractNum>
  <w:abstractNum w:abstractNumId="1">
    <w:nsid w:val="02D67648"/>
    <w:multiLevelType w:val="hybridMultilevel"/>
    <w:tmpl w:val="0F6E2B86"/>
    <w:lvl w:ilvl="0" w:tplc="00EA5604">
      <w:start w:val="1"/>
      <w:numFmt w:val="bullet"/>
      <w:lvlText w:val="•"/>
      <w:lvlJc w:val="left"/>
      <w:pPr>
        <w:tabs>
          <w:tab w:val="num" w:pos="720"/>
        </w:tabs>
        <w:ind w:left="720" w:hanging="360"/>
      </w:pPr>
      <w:rPr>
        <w:rFonts w:ascii="Arial" w:hAnsi="Arial" w:hint="default"/>
      </w:rPr>
    </w:lvl>
    <w:lvl w:ilvl="1" w:tplc="4596E088" w:tentative="1">
      <w:start w:val="1"/>
      <w:numFmt w:val="bullet"/>
      <w:lvlText w:val="•"/>
      <w:lvlJc w:val="left"/>
      <w:pPr>
        <w:tabs>
          <w:tab w:val="num" w:pos="1440"/>
        </w:tabs>
        <w:ind w:left="1440" w:hanging="360"/>
      </w:pPr>
      <w:rPr>
        <w:rFonts w:ascii="Arial" w:hAnsi="Arial" w:hint="default"/>
      </w:rPr>
    </w:lvl>
    <w:lvl w:ilvl="2" w:tplc="4418E38E" w:tentative="1">
      <w:start w:val="1"/>
      <w:numFmt w:val="bullet"/>
      <w:lvlText w:val="•"/>
      <w:lvlJc w:val="left"/>
      <w:pPr>
        <w:tabs>
          <w:tab w:val="num" w:pos="2160"/>
        </w:tabs>
        <w:ind w:left="2160" w:hanging="360"/>
      </w:pPr>
      <w:rPr>
        <w:rFonts w:ascii="Arial" w:hAnsi="Arial" w:hint="default"/>
      </w:rPr>
    </w:lvl>
    <w:lvl w:ilvl="3" w:tplc="50265A34" w:tentative="1">
      <w:start w:val="1"/>
      <w:numFmt w:val="bullet"/>
      <w:lvlText w:val="•"/>
      <w:lvlJc w:val="left"/>
      <w:pPr>
        <w:tabs>
          <w:tab w:val="num" w:pos="2880"/>
        </w:tabs>
        <w:ind w:left="2880" w:hanging="360"/>
      </w:pPr>
      <w:rPr>
        <w:rFonts w:ascii="Arial" w:hAnsi="Arial" w:hint="default"/>
      </w:rPr>
    </w:lvl>
    <w:lvl w:ilvl="4" w:tplc="F050D706" w:tentative="1">
      <w:start w:val="1"/>
      <w:numFmt w:val="bullet"/>
      <w:lvlText w:val="•"/>
      <w:lvlJc w:val="left"/>
      <w:pPr>
        <w:tabs>
          <w:tab w:val="num" w:pos="3600"/>
        </w:tabs>
        <w:ind w:left="3600" w:hanging="360"/>
      </w:pPr>
      <w:rPr>
        <w:rFonts w:ascii="Arial" w:hAnsi="Arial" w:hint="default"/>
      </w:rPr>
    </w:lvl>
    <w:lvl w:ilvl="5" w:tplc="87647AD6" w:tentative="1">
      <w:start w:val="1"/>
      <w:numFmt w:val="bullet"/>
      <w:lvlText w:val="•"/>
      <w:lvlJc w:val="left"/>
      <w:pPr>
        <w:tabs>
          <w:tab w:val="num" w:pos="4320"/>
        </w:tabs>
        <w:ind w:left="4320" w:hanging="360"/>
      </w:pPr>
      <w:rPr>
        <w:rFonts w:ascii="Arial" w:hAnsi="Arial" w:hint="default"/>
      </w:rPr>
    </w:lvl>
    <w:lvl w:ilvl="6" w:tplc="DD06C758" w:tentative="1">
      <w:start w:val="1"/>
      <w:numFmt w:val="bullet"/>
      <w:lvlText w:val="•"/>
      <w:lvlJc w:val="left"/>
      <w:pPr>
        <w:tabs>
          <w:tab w:val="num" w:pos="5040"/>
        </w:tabs>
        <w:ind w:left="5040" w:hanging="360"/>
      </w:pPr>
      <w:rPr>
        <w:rFonts w:ascii="Arial" w:hAnsi="Arial" w:hint="default"/>
      </w:rPr>
    </w:lvl>
    <w:lvl w:ilvl="7" w:tplc="3358FF6C" w:tentative="1">
      <w:start w:val="1"/>
      <w:numFmt w:val="bullet"/>
      <w:lvlText w:val="•"/>
      <w:lvlJc w:val="left"/>
      <w:pPr>
        <w:tabs>
          <w:tab w:val="num" w:pos="5760"/>
        </w:tabs>
        <w:ind w:left="5760" w:hanging="360"/>
      </w:pPr>
      <w:rPr>
        <w:rFonts w:ascii="Arial" w:hAnsi="Arial" w:hint="default"/>
      </w:rPr>
    </w:lvl>
    <w:lvl w:ilvl="8" w:tplc="A014B24A" w:tentative="1">
      <w:start w:val="1"/>
      <w:numFmt w:val="bullet"/>
      <w:lvlText w:val="•"/>
      <w:lvlJc w:val="left"/>
      <w:pPr>
        <w:tabs>
          <w:tab w:val="num" w:pos="6480"/>
        </w:tabs>
        <w:ind w:left="6480" w:hanging="360"/>
      </w:pPr>
      <w:rPr>
        <w:rFonts w:ascii="Arial" w:hAnsi="Arial" w:hint="default"/>
      </w:rPr>
    </w:lvl>
  </w:abstractNum>
  <w:abstractNum w:abstractNumId="2">
    <w:nsid w:val="0CF8419E"/>
    <w:multiLevelType w:val="hybridMultilevel"/>
    <w:tmpl w:val="0BD2B366"/>
    <w:lvl w:ilvl="0" w:tplc="BC5C968E">
      <w:start w:val="1"/>
      <w:numFmt w:val="bullet"/>
      <w:lvlText w:val="•"/>
      <w:lvlJc w:val="left"/>
      <w:pPr>
        <w:tabs>
          <w:tab w:val="num" w:pos="720"/>
        </w:tabs>
        <w:ind w:left="720" w:hanging="360"/>
      </w:pPr>
      <w:rPr>
        <w:rFonts w:ascii="Arial" w:hAnsi="Arial" w:hint="default"/>
      </w:rPr>
    </w:lvl>
    <w:lvl w:ilvl="1" w:tplc="460E1206">
      <w:start w:val="1"/>
      <w:numFmt w:val="bullet"/>
      <w:lvlText w:val="•"/>
      <w:lvlJc w:val="left"/>
      <w:pPr>
        <w:tabs>
          <w:tab w:val="num" w:pos="1440"/>
        </w:tabs>
        <w:ind w:left="1440" w:hanging="360"/>
      </w:pPr>
      <w:rPr>
        <w:rFonts w:ascii="Arial" w:hAnsi="Arial" w:hint="default"/>
      </w:rPr>
    </w:lvl>
    <w:lvl w:ilvl="2" w:tplc="DC5C46AC" w:tentative="1">
      <w:start w:val="1"/>
      <w:numFmt w:val="bullet"/>
      <w:lvlText w:val="•"/>
      <w:lvlJc w:val="left"/>
      <w:pPr>
        <w:tabs>
          <w:tab w:val="num" w:pos="2160"/>
        </w:tabs>
        <w:ind w:left="2160" w:hanging="360"/>
      </w:pPr>
      <w:rPr>
        <w:rFonts w:ascii="Arial" w:hAnsi="Arial" w:hint="default"/>
      </w:rPr>
    </w:lvl>
    <w:lvl w:ilvl="3" w:tplc="A208A6FA" w:tentative="1">
      <w:start w:val="1"/>
      <w:numFmt w:val="bullet"/>
      <w:lvlText w:val="•"/>
      <w:lvlJc w:val="left"/>
      <w:pPr>
        <w:tabs>
          <w:tab w:val="num" w:pos="2880"/>
        </w:tabs>
        <w:ind w:left="2880" w:hanging="360"/>
      </w:pPr>
      <w:rPr>
        <w:rFonts w:ascii="Arial" w:hAnsi="Arial" w:hint="default"/>
      </w:rPr>
    </w:lvl>
    <w:lvl w:ilvl="4" w:tplc="58EA6854" w:tentative="1">
      <w:start w:val="1"/>
      <w:numFmt w:val="bullet"/>
      <w:lvlText w:val="•"/>
      <w:lvlJc w:val="left"/>
      <w:pPr>
        <w:tabs>
          <w:tab w:val="num" w:pos="3600"/>
        </w:tabs>
        <w:ind w:left="3600" w:hanging="360"/>
      </w:pPr>
      <w:rPr>
        <w:rFonts w:ascii="Arial" w:hAnsi="Arial" w:hint="default"/>
      </w:rPr>
    </w:lvl>
    <w:lvl w:ilvl="5" w:tplc="F36C32E2" w:tentative="1">
      <w:start w:val="1"/>
      <w:numFmt w:val="bullet"/>
      <w:lvlText w:val="•"/>
      <w:lvlJc w:val="left"/>
      <w:pPr>
        <w:tabs>
          <w:tab w:val="num" w:pos="4320"/>
        </w:tabs>
        <w:ind w:left="4320" w:hanging="360"/>
      </w:pPr>
      <w:rPr>
        <w:rFonts w:ascii="Arial" w:hAnsi="Arial" w:hint="default"/>
      </w:rPr>
    </w:lvl>
    <w:lvl w:ilvl="6" w:tplc="5B94D1A8" w:tentative="1">
      <w:start w:val="1"/>
      <w:numFmt w:val="bullet"/>
      <w:lvlText w:val="•"/>
      <w:lvlJc w:val="left"/>
      <w:pPr>
        <w:tabs>
          <w:tab w:val="num" w:pos="5040"/>
        </w:tabs>
        <w:ind w:left="5040" w:hanging="360"/>
      </w:pPr>
      <w:rPr>
        <w:rFonts w:ascii="Arial" w:hAnsi="Arial" w:hint="default"/>
      </w:rPr>
    </w:lvl>
    <w:lvl w:ilvl="7" w:tplc="AF1C4FAA" w:tentative="1">
      <w:start w:val="1"/>
      <w:numFmt w:val="bullet"/>
      <w:lvlText w:val="•"/>
      <w:lvlJc w:val="left"/>
      <w:pPr>
        <w:tabs>
          <w:tab w:val="num" w:pos="5760"/>
        </w:tabs>
        <w:ind w:left="5760" w:hanging="360"/>
      </w:pPr>
      <w:rPr>
        <w:rFonts w:ascii="Arial" w:hAnsi="Arial" w:hint="default"/>
      </w:rPr>
    </w:lvl>
    <w:lvl w:ilvl="8" w:tplc="B296CD1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82D"/>
    <w:rsid w:val="00022B22"/>
    <w:rsid w:val="000F6AD5"/>
    <w:rsid w:val="00214B3D"/>
    <w:rsid w:val="003576FF"/>
    <w:rsid w:val="0039482B"/>
    <w:rsid w:val="0042682D"/>
    <w:rsid w:val="00456452"/>
    <w:rsid w:val="006A55F7"/>
    <w:rsid w:val="007B39E9"/>
    <w:rsid w:val="00804F75"/>
    <w:rsid w:val="00831E7C"/>
    <w:rsid w:val="00A114D7"/>
    <w:rsid w:val="00A95AB6"/>
    <w:rsid w:val="00B31425"/>
    <w:rsid w:val="00B37DBC"/>
    <w:rsid w:val="00BE43DB"/>
    <w:rsid w:val="00ED139C"/>
    <w:rsid w:val="00F32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5F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4D7"/>
    <w:rPr>
      <w:rFonts w:ascii="Tahoma" w:hAnsi="Tahoma" w:cs="Tahoma"/>
      <w:sz w:val="16"/>
      <w:szCs w:val="16"/>
    </w:rPr>
  </w:style>
  <w:style w:type="table" w:styleId="LightShading">
    <w:name w:val="Light Shading"/>
    <w:basedOn w:val="TableNormal"/>
    <w:uiPriority w:val="60"/>
    <w:rsid w:val="00804F7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214B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5F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4D7"/>
    <w:rPr>
      <w:rFonts w:ascii="Tahoma" w:hAnsi="Tahoma" w:cs="Tahoma"/>
      <w:sz w:val="16"/>
      <w:szCs w:val="16"/>
    </w:rPr>
  </w:style>
  <w:style w:type="table" w:styleId="LightShading">
    <w:name w:val="Light Shading"/>
    <w:basedOn w:val="TableNormal"/>
    <w:uiPriority w:val="60"/>
    <w:rsid w:val="00804F7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214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652593">
      <w:bodyDiv w:val="1"/>
      <w:marLeft w:val="0"/>
      <w:marRight w:val="0"/>
      <w:marTop w:val="0"/>
      <w:marBottom w:val="0"/>
      <w:divBdr>
        <w:top w:val="none" w:sz="0" w:space="0" w:color="auto"/>
        <w:left w:val="none" w:sz="0" w:space="0" w:color="auto"/>
        <w:bottom w:val="none" w:sz="0" w:space="0" w:color="auto"/>
        <w:right w:val="none" w:sz="0" w:space="0" w:color="auto"/>
      </w:divBdr>
      <w:divsChild>
        <w:div w:id="1820464160">
          <w:marLeft w:val="547"/>
          <w:marRight w:val="0"/>
          <w:marTop w:val="86"/>
          <w:marBottom w:val="0"/>
          <w:divBdr>
            <w:top w:val="none" w:sz="0" w:space="0" w:color="auto"/>
            <w:left w:val="none" w:sz="0" w:space="0" w:color="auto"/>
            <w:bottom w:val="none" w:sz="0" w:space="0" w:color="auto"/>
            <w:right w:val="none" w:sz="0" w:space="0" w:color="auto"/>
          </w:divBdr>
        </w:div>
        <w:div w:id="860237771">
          <w:marLeft w:val="547"/>
          <w:marRight w:val="0"/>
          <w:marTop w:val="86"/>
          <w:marBottom w:val="0"/>
          <w:divBdr>
            <w:top w:val="none" w:sz="0" w:space="0" w:color="auto"/>
            <w:left w:val="none" w:sz="0" w:space="0" w:color="auto"/>
            <w:bottom w:val="none" w:sz="0" w:space="0" w:color="auto"/>
            <w:right w:val="none" w:sz="0" w:space="0" w:color="auto"/>
          </w:divBdr>
        </w:div>
      </w:divsChild>
    </w:div>
    <w:div w:id="896205446">
      <w:bodyDiv w:val="1"/>
      <w:marLeft w:val="0"/>
      <w:marRight w:val="0"/>
      <w:marTop w:val="0"/>
      <w:marBottom w:val="0"/>
      <w:divBdr>
        <w:top w:val="none" w:sz="0" w:space="0" w:color="auto"/>
        <w:left w:val="none" w:sz="0" w:space="0" w:color="auto"/>
        <w:bottom w:val="none" w:sz="0" w:space="0" w:color="auto"/>
        <w:right w:val="none" w:sz="0" w:space="0" w:color="auto"/>
      </w:divBdr>
    </w:div>
    <w:div w:id="919405286">
      <w:bodyDiv w:val="1"/>
      <w:marLeft w:val="0"/>
      <w:marRight w:val="0"/>
      <w:marTop w:val="0"/>
      <w:marBottom w:val="0"/>
      <w:divBdr>
        <w:top w:val="none" w:sz="0" w:space="0" w:color="auto"/>
        <w:left w:val="none" w:sz="0" w:space="0" w:color="auto"/>
        <w:bottom w:val="none" w:sz="0" w:space="0" w:color="auto"/>
        <w:right w:val="none" w:sz="0" w:space="0" w:color="auto"/>
      </w:divBdr>
      <w:divsChild>
        <w:div w:id="377163577">
          <w:marLeft w:val="547"/>
          <w:marRight w:val="0"/>
          <w:marTop w:val="86"/>
          <w:marBottom w:val="0"/>
          <w:divBdr>
            <w:top w:val="none" w:sz="0" w:space="0" w:color="auto"/>
            <w:left w:val="none" w:sz="0" w:space="0" w:color="auto"/>
            <w:bottom w:val="none" w:sz="0" w:space="0" w:color="auto"/>
            <w:right w:val="none" w:sz="0" w:space="0" w:color="auto"/>
          </w:divBdr>
        </w:div>
        <w:div w:id="1530610027">
          <w:marLeft w:val="547"/>
          <w:marRight w:val="0"/>
          <w:marTop w:val="86"/>
          <w:marBottom w:val="0"/>
          <w:divBdr>
            <w:top w:val="none" w:sz="0" w:space="0" w:color="auto"/>
            <w:left w:val="none" w:sz="0" w:space="0" w:color="auto"/>
            <w:bottom w:val="none" w:sz="0" w:space="0" w:color="auto"/>
            <w:right w:val="none" w:sz="0" w:space="0" w:color="auto"/>
          </w:divBdr>
        </w:div>
      </w:divsChild>
    </w:div>
    <w:div w:id="1329359560">
      <w:bodyDiv w:val="1"/>
      <w:marLeft w:val="0"/>
      <w:marRight w:val="0"/>
      <w:marTop w:val="0"/>
      <w:marBottom w:val="0"/>
      <w:divBdr>
        <w:top w:val="none" w:sz="0" w:space="0" w:color="auto"/>
        <w:left w:val="none" w:sz="0" w:space="0" w:color="auto"/>
        <w:bottom w:val="none" w:sz="0" w:space="0" w:color="auto"/>
        <w:right w:val="none" w:sz="0" w:space="0" w:color="auto"/>
      </w:divBdr>
    </w:div>
    <w:div w:id="1536111544">
      <w:bodyDiv w:val="1"/>
      <w:marLeft w:val="0"/>
      <w:marRight w:val="0"/>
      <w:marTop w:val="0"/>
      <w:marBottom w:val="0"/>
      <w:divBdr>
        <w:top w:val="none" w:sz="0" w:space="0" w:color="auto"/>
        <w:left w:val="none" w:sz="0" w:space="0" w:color="auto"/>
        <w:bottom w:val="none" w:sz="0" w:space="0" w:color="auto"/>
        <w:right w:val="none" w:sz="0" w:space="0" w:color="auto"/>
      </w:divBdr>
    </w:div>
    <w:div w:id="194734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oleObject" Target="file:///C:\Documents%20and%20Settings\ssikdar\Desktop\beloff%20data.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radarChart>
        <c:radarStyle val="marker"/>
        <c:varyColors val="0"/>
        <c:ser>
          <c:idx val="0"/>
          <c:order val="0"/>
          <c:tx>
            <c:strRef>
              <c:f>Sheet4!$B$1</c:f>
              <c:strCache>
                <c:ptCount val="1"/>
                <c:pt idx="0">
                  <c:v>Al</c:v>
                </c:pt>
              </c:strCache>
            </c:strRef>
          </c:tx>
          <c:marker>
            <c:symbol val="none"/>
          </c:marker>
          <c:cat>
            <c:strRef>
              <c:f>Sheet4!$A$2:$A$13</c:f>
              <c:strCache>
                <c:ptCount val="12"/>
                <c:pt idx="0">
                  <c:v>energyx10(-3)</c:v>
                </c:pt>
                <c:pt idx="1">
                  <c:v>resourcesx10(-1)</c:v>
                </c:pt>
                <c:pt idx="2">
                  <c:v>waterx10(-1)</c:v>
                </c:pt>
                <c:pt idx="3">
                  <c:v>GWPx10(-2)</c:v>
                </c:pt>
                <c:pt idx="4">
                  <c:v>ODP</c:v>
                </c:pt>
                <c:pt idx="5">
                  <c:v>APx10(-1)</c:v>
                </c:pt>
                <c:pt idx="6">
                  <c:v>EP</c:v>
                </c:pt>
                <c:pt idx="7">
                  <c:v>POCP</c:v>
                </c:pt>
                <c:pt idx="8">
                  <c:v>Htox air</c:v>
                </c:pt>
                <c:pt idx="9">
                  <c:v>Htox water</c:v>
                </c:pt>
                <c:pt idx="10">
                  <c:v>Eco tox</c:v>
                </c:pt>
                <c:pt idx="11">
                  <c:v>waste</c:v>
                </c:pt>
              </c:strCache>
            </c:strRef>
          </c:cat>
          <c:val>
            <c:numRef>
              <c:f>Sheet4!$B$2:$B$13</c:f>
              <c:numCache>
                <c:formatCode>General</c:formatCode>
                <c:ptCount val="12"/>
                <c:pt idx="0">
                  <c:v>1.29</c:v>
                </c:pt>
                <c:pt idx="1">
                  <c:v>1.5</c:v>
                </c:pt>
                <c:pt idx="2">
                  <c:v>3.6</c:v>
                </c:pt>
                <c:pt idx="3">
                  <c:v>1.04</c:v>
                </c:pt>
                <c:pt idx="4">
                  <c:v>1</c:v>
                </c:pt>
                <c:pt idx="5">
                  <c:v>2.8</c:v>
                </c:pt>
                <c:pt idx="6">
                  <c:v>4.4000000000000004</c:v>
                </c:pt>
                <c:pt idx="7">
                  <c:v>6.7</c:v>
                </c:pt>
                <c:pt idx="8">
                  <c:v>3.8</c:v>
                </c:pt>
                <c:pt idx="9">
                  <c:v>0.66000000000000791</c:v>
                </c:pt>
                <c:pt idx="10">
                  <c:v>2.9</c:v>
                </c:pt>
                <c:pt idx="11">
                  <c:v>3.7</c:v>
                </c:pt>
              </c:numCache>
            </c:numRef>
          </c:val>
        </c:ser>
        <c:ser>
          <c:idx val="1"/>
          <c:order val="1"/>
          <c:tx>
            <c:strRef>
              <c:f>Sheet4!$C$1</c:f>
              <c:strCache>
                <c:ptCount val="1"/>
                <c:pt idx="0">
                  <c:v>St</c:v>
                </c:pt>
              </c:strCache>
            </c:strRef>
          </c:tx>
          <c:marker>
            <c:symbol val="none"/>
          </c:marker>
          <c:cat>
            <c:strRef>
              <c:f>Sheet4!$A$2:$A$13</c:f>
              <c:strCache>
                <c:ptCount val="12"/>
                <c:pt idx="0">
                  <c:v>energyx10(-3)</c:v>
                </c:pt>
                <c:pt idx="1">
                  <c:v>resourcesx10(-1)</c:v>
                </c:pt>
                <c:pt idx="2">
                  <c:v>waterx10(-1)</c:v>
                </c:pt>
                <c:pt idx="3">
                  <c:v>GWPx10(-2)</c:v>
                </c:pt>
                <c:pt idx="4">
                  <c:v>ODP</c:v>
                </c:pt>
                <c:pt idx="5">
                  <c:v>APx10(-1)</c:v>
                </c:pt>
                <c:pt idx="6">
                  <c:v>EP</c:v>
                </c:pt>
                <c:pt idx="7">
                  <c:v>POCP</c:v>
                </c:pt>
                <c:pt idx="8">
                  <c:v>Htox air</c:v>
                </c:pt>
                <c:pt idx="9">
                  <c:v>Htox water</c:v>
                </c:pt>
                <c:pt idx="10">
                  <c:v>Eco tox</c:v>
                </c:pt>
                <c:pt idx="11">
                  <c:v>waste</c:v>
                </c:pt>
              </c:strCache>
            </c:strRef>
          </c:cat>
          <c:val>
            <c:numRef>
              <c:f>Sheet4!$C$2:$C$13</c:f>
              <c:numCache>
                <c:formatCode>General</c:formatCode>
                <c:ptCount val="12"/>
                <c:pt idx="0">
                  <c:v>1.1200000000000001</c:v>
                </c:pt>
                <c:pt idx="1">
                  <c:v>2.5</c:v>
                </c:pt>
                <c:pt idx="2">
                  <c:v>2.7</c:v>
                </c:pt>
                <c:pt idx="3">
                  <c:v>1.05</c:v>
                </c:pt>
                <c:pt idx="4">
                  <c:v>0.1</c:v>
                </c:pt>
                <c:pt idx="5">
                  <c:v>1.9000000000000001</c:v>
                </c:pt>
                <c:pt idx="6">
                  <c:v>4.2</c:v>
                </c:pt>
                <c:pt idx="7">
                  <c:v>9.2000000000000011</c:v>
                </c:pt>
                <c:pt idx="8">
                  <c:v>3.7</c:v>
                </c:pt>
                <c:pt idx="9">
                  <c:v>0.92</c:v>
                </c:pt>
                <c:pt idx="10">
                  <c:v>3.4</c:v>
                </c:pt>
                <c:pt idx="11">
                  <c:v>1.2</c:v>
                </c:pt>
              </c:numCache>
            </c:numRef>
          </c:val>
        </c:ser>
        <c:ser>
          <c:idx val="2"/>
          <c:order val="2"/>
          <c:tx>
            <c:strRef>
              <c:f>Sheet4!$D$1</c:f>
              <c:strCache>
                <c:ptCount val="1"/>
                <c:pt idx="0">
                  <c:v>PC/PBT</c:v>
                </c:pt>
              </c:strCache>
            </c:strRef>
          </c:tx>
          <c:marker>
            <c:symbol val="none"/>
          </c:marker>
          <c:cat>
            <c:strRef>
              <c:f>Sheet4!$A$2:$A$13</c:f>
              <c:strCache>
                <c:ptCount val="12"/>
                <c:pt idx="0">
                  <c:v>energyx10(-3)</c:v>
                </c:pt>
                <c:pt idx="1">
                  <c:v>resourcesx10(-1)</c:v>
                </c:pt>
                <c:pt idx="2">
                  <c:v>waterx10(-1)</c:v>
                </c:pt>
                <c:pt idx="3">
                  <c:v>GWPx10(-2)</c:v>
                </c:pt>
                <c:pt idx="4">
                  <c:v>ODP</c:v>
                </c:pt>
                <c:pt idx="5">
                  <c:v>APx10(-1)</c:v>
                </c:pt>
                <c:pt idx="6">
                  <c:v>EP</c:v>
                </c:pt>
                <c:pt idx="7">
                  <c:v>POCP</c:v>
                </c:pt>
                <c:pt idx="8">
                  <c:v>Htox air</c:v>
                </c:pt>
                <c:pt idx="9">
                  <c:v>Htox water</c:v>
                </c:pt>
                <c:pt idx="10">
                  <c:v>Eco tox</c:v>
                </c:pt>
                <c:pt idx="11">
                  <c:v>waste</c:v>
                </c:pt>
              </c:strCache>
            </c:strRef>
          </c:cat>
          <c:val>
            <c:numRef>
              <c:f>Sheet4!$D$2:$D$13</c:f>
              <c:numCache>
                <c:formatCode>General</c:formatCode>
                <c:ptCount val="12"/>
                <c:pt idx="0">
                  <c:v>1.06</c:v>
                </c:pt>
                <c:pt idx="1">
                  <c:v>1.8</c:v>
                </c:pt>
                <c:pt idx="2">
                  <c:v>2.2000000000000002</c:v>
                </c:pt>
                <c:pt idx="3">
                  <c:v>0.83000000000000063</c:v>
                </c:pt>
                <c:pt idx="4">
                  <c:v>0.4</c:v>
                </c:pt>
                <c:pt idx="5">
                  <c:v>2</c:v>
                </c:pt>
                <c:pt idx="6">
                  <c:v>3.9</c:v>
                </c:pt>
                <c:pt idx="7">
                  <c:v>8.7000000000000011</c:v>
                </c:pt>
                <c:pt idx="8">
                  <c:v>2.5</c:v>
                </c:pt>
                <c:pt idx="9">
                  <c:v>0.99</c:v>
                </c:pt>
                <c:pt idx="10">
                  <c:v>2.7</c:v>
                </c:pt>
                <c:pt idx="11">
                  <c:v>1</c:v>
                </c:pt>
              </c:numCache>
            </c:numRef>
          </c:val>
        </c:ser>
        <c:ser>
          <c:idx val="3"/>
          <c:order val="3"/>
          <c:tx>
            <c:strRef>
              <c:f>Sheet4!$E$1</c:f>
              <c:strCache>
                <c:ptCount val="1"/>
                <c:pt idx="0">
                  <c:v>PP/ EPDM</c:v>
                </c:pt>
              </c:strCache>
            </c:strRef>
          </c:tx>
          <c:marker>
            <c:symbol val="none"/>
          </c:marker>
          <c:cat>
            <c:strRef>
              <c:f>Sheet4!$A$2:$A$13</c:f>
              <c:strCache>
                <c:ptCount val="12"/>
                <c:pt idx="0">
                  <c:v>energyx10(-3)</c:v>
                </c:pt>
                <c:pt idx="1">
                  <c:v>resourcesx10(-1)</c:v>
                </c:pt>
                <c:pt idx="2">
                  <c:v>waterx10(-1)</c:v>
                </c:pt>
                <c:pt idx="3">
                  <c:v>GWPx10(-2)</c:v>
                </c:pt>
                <c:pt idx="4">
                  <c:v>ODP</c:v>
                </c:pt>
                <c:pt idx="5">
                  <c:v>APx10(-1)</c:v>
                </c:pt>
                <c:pt idx="6">
                  <c:v>EP</c:v>
                </c:pt>
                <c:pt idx="7">
                  <c:v>POCP</c:v>
                </c:pt>
                <c:pt idx="8">
                  <c:v>Htox air</c:v>
                </c:pt>
                <c:pt idx="9">
                  <c:v>Htox water</c:v>
                </c:pt>
                <c:pt idx="10">
                  <c:v>Eco tox</c:v>
                </c:pt>
                <c:pt idx="11">
                  <c:v>waste</c:v>
                </c:pt>
              </c:strCache>
            </c:strRef>
          </c:cat>
          <c:val>
            <c:numRef>
              <c:f>Sheet4!$E$2:$E$13</c:f>
              <c:numCache>
                <c:formatCode>General</c:formatCode>
                <c:ptCount val="12"/>
                <c:pt idx="0">
                  <c:v>0.81</c:v>
                </c:pt>
                <c:pt idx="1">
                  <c:v>1.4</c:v>
                </c:pt>
                <c:pt idx="2">
                  <c:v>1.7</c:v>
                </c:pt>
                <c:pt idx="3">
                  <c:v>0.6200000000000061</c:v>
                </c:pt>
                <c:pt idx="4">
                  <c:v>0.2</c:v>
                </c:pt>
                <c:pt idx="5">
                  <c:v>1.6</c:v>
                </c:pt>
                <c:pt idx="6">
                  <c:v>3.5</c:v>
                </c:pt>
                <c:pt idx="7">
                  <c:v>8</c:v>
                </c:pt>
                <c:pt idx="8">
                  <c:v>1.9000000000000001</c:v>
                </c:pt>
                <c:pt idx="9">
                  <c:v>0.6200000000000061</c:v>
                </c:pt>
                <c:pt idx="10">
                  <c:v>1.9000000000000001</c:v>
                </c:pt>
                <c:pt idx="11">
                  <c:v>0.25</c:v>
                </c:pt>
              </c:numCache>
            </c:numRef>
          </c:val>
        </c:ser>
        <c:ser>
          <c:idx val="4"/>
          <c:order val="4"/>
          <c:tx>
            <c:strRef>
              <c:f>Sheet4!$F$1</c:f>
              <c:strCache>
                <c:ptCount val="1"/>
                <c:pt idx="0">
                  <c:v>PPO/PA</c:v>
                </c:pt>
              </c:strCache>
            </c:strRef>
          </c:tx>
          <c:spPr>
            <a:ln>
              <a:solidFill>
                <a:srgbClr val="FF0000"/>
              </a:solidFill>
            </a:ln>
          </c:spPr>
          <c:marker>
            <c:symbol val="none"/>
          </c:marker>
          <c:cat>
            <c:strRef>
              <c:f>Sheet4!$A$2:$A$13</c:f>
              <c:strCache>
                <c:ptCount val="12"/>
                <c:pt idx="0">
                  <c:v>energyx10(-3)</c:v>
                </c:pt>
                <c:pt idx="1">
                  <c:v>resourcesx10(-1)</c:v>
                </c:pt>
                <c:pt idx="2">
                  <c:v>waterx10(-1)</c:v>
                </c:pt>
                <c:pt idx="3">
                  <c:v>GWPx10(-2)</c:v>
                </c:pt>
                <c:pt idx="4">
                  <c:v>ODP</c:v>
                </c:pt>
                <c:pt idx="5">
                  <c:v>APx10(-1)</c:v>
                </c:pt>
                <c:pt idx="6">
                  <c:v>EP</c:v>
                </c:pt>
                <c:pt idx="7">
                  <c:v>POCP</c:v>
                </c:pt>
                <c:pt idx="8">
                  <c:v>Htox air</c:v>
                </c:pt>
                <c:pt idx="9">
                  <c:v>Htox water</c:v>
                </c:pt>
                <c:pt idx="10">
                  <c:v>Eco tox</c:v>
                </c:pt>
                <c:pt idx="11">
                  <c:v>waste</c:v>
                </c:pt>
              </c:strCache>
            </c:strRef>
          </c:cat>
          <c:val>
            <c:numRef>
              <c:f>Sheet4!$F$2:$F$13</c:f>
              <c:numCache>
                <c:formatCode>General</c:formatCode>
                <c:ptCount val="12"/>
                <c:pt idx="0">
                  <c:v>1.08</c:v>
                </c:pt>
                <c:pt idx="1">
                  <c:v>2.1</c:v>
                </c:pt>
                <c:pt idx="2">
                  <c:v>2.5</c:v>
                </c:pt>
                <c:pt idx="3">
                  <c:v>1.1499999999999864</c:v>
                </c:pt>
                <c:pt idx="4">
                  <c:v>1.2</c:v>
                </c:pt>
                <c:pt idx="5">
                  <c:v>2</c:v>
                </c:pt>
                <c:pt idx="6">
                  <c:v>7.2</c:v>
                </c:pt>
                <c:pt idx="7">
                  <c:v>9.1</c:v>
                </c:pt>
                <c:pt idx="8">
                  <c:v>2.5</c:v>
                </c:pt>
                <c:pt idx="9">
                  <c:v>0.74000000000000365</c:v>
                </c:pt>
                <c:pt idx="10">
                  <c:v>2.4</c:v>
                </c:pt>
                <c:pt idx="11">
                  <c:v>0.25</c:v>
                </c:pt>
              </c:numCache>
            </c:numRef>
          </c:val>
        </c:ser>
        <c:dLbls>
          <c:showLegendKey val="0"/>
          <c:showVal val="0"/>
          <c:showCatName val="0"/>
          <c:showSerName val="0"/>
          <c:showPercent val="0"/>
          <c:showBubbleSize val="0"/>
        </c:dLbls>
        <c:axId val="127673856"/>
        <c:axId val="130580480"/>
      </c:radarChart>
      <c:catAx>
        <c:axId val="127673856"/>
        <c:scaling>
          <c:orientation val="minMax"/>
        </c:scaling>
        <c:delete val="0"/>
        <c:axPos val="b"/>
        <c:majorGridlines/>
        <c:numFmt formatCode="General" sourceLinked="0"/>
        <c:majorTickMark val="out"/>
        <c:minorTickMark val="none"/>
        <c:tickLblPos val="nextTo"/>
        <c:crossAx val="130580480"/>
        <c:crosses val="autoZero"/>
        <c:auto val="1"/>
        <c:lblAlgn val="ctr"/>
        <c:lblOffset val="100"/>
        <c:noMultiLvlLbl val="0"/>
      </c:catAx>
      <c:valAx>
        <c:axId val="130580480"/>
        <c:scaling>
          <c:orientation val="minMax"/>
        </c:scaling>
        <c:delete val="0"/>
        <c:axPos val="l"/>
        <c:majorGridlines/>
        <c:numFmt formatCode="General" sourceLinked="1"/>
        <c:majorTickMark val="cross"/>
        <c:minorTickMark val="none"/>
        <c:tickLblPos val="nextTo"/>
        <c:crossAx val="127673856"/>
        <c:crosses val="autoZero"/>
        <c:crossBetween val="between"/>
      </c:valAx>
    </c:plotArea>
    <c:legend>
      <c:legendPos val="r"/>
      <c:layout/>
      <c:overlay val="0"/>
    </c:legend>
    <c:plotVisOnly val="1"/>
    <c:dispBlanksAs val="gap"/>
    <c:showDLblsOverMax val="0"/>
  </c:chart>
  <c:spPr>
    <a:noFill/>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invertIfNegative val="0"/>
          <c:cat>
            <c:strRef>
              <c:f>'Fender Case'!$A$19:$A$23</c:f>
              <c:strCache>
                <c:ptCount val="5"/>
                <c:pt idx="0">
                  <c:v>Al</c:v>
                </c:pt>
                <c:pt idx="1">
                  <c:v>St</c:v>
                </c:pt>
                <c:pt idx="2">
                  <c:v>PC/PBT</c:v>
                </c:pt>
                <c:pt idx="3">
                  <c:v>PP/EPDM</c:v>
                </c:pt>
                <c:pt idx="4">
                  <c:v>PPO/PA</c:v>
                </c:pt>
              </c:strCache>
            </c:strRef>
          </c:cat>
          <c:val>
            <c:numRef>
              <c:f>'Fender Case'!$N$19:$N$23</c:f>
              <c:numCache>
                <c:formatCode>0.00</c:formatCode>
                <c:ptCount val="5"/>
                <c:pt idx="0">
                  <c:v>2.6116980149615157</c:v>
                </c:pt>
                <c:pt idx="1">
                  <c:v>2.4660471252202476</c:v>
                </c:pt>
                <c:pt idx="2">
                  <c:v>1.702454484099341</c:v>
                </c:pt>
                <c:pt idx="3">
                  <c:v>0.52788678976643988</c:v>
                </c:pt>
                <c:pt idx="4">
                  <c:v>2.2907164223242273</c:v>
                </c:pt>
              </c:numCache>
            </c:numRef>
          </c:val>
        </c:ser>
        <c:dLbls>
          <c:showLegendKey val="0"/>
          <c:showVal val="0"/>
          <c:showCatName val="0"/>
          <c:showSerName val="0"/>
          <c:showPercent val="0"/>
          <c:showBubbleSize val="0"/>
        </c:dLbls>
        <c:gapWidth val="150"/>
        <c:axId val="122349824"/>
        <c:axId val="127725568"/>
      </c:barChart>
      <c:catAx>
        <c:axId val="122349824"/>
        <c:scaling>
          <c:orientation val="minMax"/>
        </c:scaling>
        <c:delete val="0"/>
        <c:axPos val="b"/>
        <c:majorTickMark val="out"/>
        <c:minorTickMark val="none"/>
        <c:tickLblPos val="nextTo"/>
        <c:crossAx val="127725568"/>
        <c:crosses val="autoZero"/>
        <c:auto val="1"/>
        <c:lblAlgn val="ctr"/>
        <c:lblOffset val="100"/>
        <c:noMultiLvlLbl val="0"/>
      </c:catAx>
      <c:valAx>
        <c:axId val="127725568"/>
        <c:scaling>
          <c:orientation val="minMax"/>
        </c:scaling>
        <c:delete val="0"/>
        <c:axPos val="l"/>
        <c:numFmt formatCode="0.00" sourceLinked="1"/>
        <c:majorTickMark val="out"/>
        <c:minorTickMark val="none"/>
        <c:tickLblPos val="nextTo"/>
        <c:crossAx val="122349824"/>
        <c:crosses val="autoZero"/>
        <c:crossBetween val="between"/>
      </c:valAx>
      <c:spPr>
        <a:ln>
          <a:solidFill>
            <a:schemeClr val="tx1"/>
          </a:solidFill>
        </a:ln>
      </c:spPr>
    </c:plotArea>
    <c:plotVisOnly val="1"/>
    <c:dispBlanksAs val="gap"/>
    <c:showDLblsOverMax val="0"/>
  </c:chart>
  <c:spPr>
    <a:ln>
      <a:solidFill>
        <a:schemeClr val="tx1"/>
      </a:solidFill>
    </a:ln>
  </c:spPr>
  <c:txPr>
    <a:bodyPr/>
    <a:lstStyle/>
    <a:p>
      <a:pPr>
        <a:defRPr sz="12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n-US"/>
              <a:t>De Value</a:t>
            </a:r>
          </a:p>
        </c:rich>
      </c:tx>
      <c:layout>
        <c:manualLayout>
          <c:xMode val="edge"/>
          <c:yMode val="edge"/>
          <c:x val="0.46774302595056289"/>
          <c:y val="2.3147867506951043E-2"/>
        </c:manualLayout>
      </c:layout>
      <c:overlay val="0"/>
    </c:title>
    <c:autoTitleDeleted val="0"/>
    <c:plotArea>
      <c:layout/>
      <c:barChart>
        <c:barDir val="col"/>
        <c:grouping val="clustered"/>
        <c:varyColors val="0"/>
        <c:ser>
          <c:idx val="0"/>
          <c:order val="0"/>
          <c:invertIfNegative val="0"/>
          <c:dLbls>
            <c:dLbl>
              <c:idx val="0"/>
              <c:layout/>
              <c:spPr/>
              <c:txPr>
                <a:bodyPr/>
                <a:lstStyle/>
                <a:p>
                  <a:pPr>
                    <a:defRPr>
                      <a:solidFill>
                        <a:schemeClr val="bg1"/>
                      </a:solidFill>
                    </a:defRPr>
                  </a:pPr>
                  <a:endParaRPr lang="en-US"/>
                </a:p>
              </c:txPr>
              <c:dLblPos val="inEnd"/>
              <c:showLegendKey val="0"/>
              <c:showVal val="1"/>
              <c:showCatName val="0"/>
              <c:showSerName val="0"/>
              <c:showPercent val="0"/>
              <c:showBubbleSize val="0"/>
            </c:dLbl>
            <c:dLbl>
              <c:idx val="1"/>
              <c:layout/>
              <c:spPr/>
              <c:txPr>
                <a:bodyPr/>
                <a:lstStyle/>
                <a:p>
                  <a:pPr>
                    <a:defRPr>
                      <a:solidFill>
                        <a:schemeClr val="bg1"/>
                      </a:solidFill>
                    </a:defRPr>
                  </a:pPr>
                  <a:endParaRPr lang="en-US"/>
                </a:p>
              </c:txPr>
              <c:dLblPos val="inEnd"/>
              <c:showLegendKey val="0"/>
              <c:showVal val="1"/>
              <c:showCatName val="0"/>
              <c:showSerName val="0"/>
              <c:showPercent val="0"/>
              <c:showBubbleSize val="0"/>
            </c:dLbl>
            <c:dLbl>
              <c:idx val="2"/>
              <c:layout/>
              <c:spPr/>
              <c:txPr>
                <a:bodyPr/>
                <a:lstStyle/>
                <a:p>
                  <a:pPr>
                    <a:defRPr>
                      <a:solidFill>
                        <a:schemeClr val="bg1"/>
                      </a:solidFill>
                    </a:defRPr>
                  </a:pPr>
                  <a:endParaRPr lang="en-US"/>
                </a:p>
              </c:txPr>
              <c:dLblPos val="inEnd"/>
              <c:showLegendKey val="0"/>
              <c:showVal val="1"/>
              <c:showCatName val="0"/>
              <c:showSerName val="0"/>
              <c:showPercent val="0"/>
              <c:showBubbleSize val="0"/>
            </c:dLbl>
            <c:dLbl>
              <c:idx val="3"/>
              <c:layout/>
              <c:spPr/>
              <c:txPr>
                <a:bodyPr/>
                <a:lstStyle/>
                <a:p>
                  <a:pPr>
                    <a:defRPr>
                      <a:solidFill>
                        <a:schemeClr val="bg1"/>
                      </a:solidFill>
                    </a:defRPr>
                  </a:pPr>
                  <a:endParaRPr lang="en-US"/>
                </a:p>
              </c:txPr>
              <c:dLblPos val="inEnd"/>
              <c:showLegendKey val="0"/>
              <c:showVal val="1"/>
              <c:showCatName val="0"/>
              <c:showSerName val="0"/>
              <c:showPercent val="0"/>
              <c:showBubbleSize val="0"/>
            </c:dLbl>
            <c:txPr>
              <a:bodyPr/>
              <a:lstStyle/>
              <a:p>
                <a:pPr>
                  <a:defRPr>
                    <a:solidFill>
                      <a:schemeClr val="bg1"/>
                    </a:solidFill>
                  </a:defRPr>
                </a:pPr>
                <a:endParaRPr lang="en-US"/>
              </a:p>
            </c:txPr>
            <c:showLegendKey val="0"/>
            <c:showVal val="0"/>
            <c:showCatName val="0"/>
            <c:showSerName val="0"/>
            <c:showPercent val="0"/>
            <c:showBubbleSize val="0"/>
          </c:dLbls>
          <c:cat>
            <c:strRef>
              <c:f>Sheet2!$A$1:$A$4</c:f>
              <c:strCache>
                <c:ptCount val="4"/>
                <c:pt idx="0">
                  <c:v>Landfill</c:v>
                </c:pt>
                <c:pt idx="1">
                  <c:v>Recycle+Landfill</c:v>
                </c:pt>
                <c:pt idx="2">
                  <c:v>Energy recovery</c:v>
                </c:pt>
                <c:pt idx="3">
                  <c:v>Recycle+Energy Recovery</c:v>
                </c:pt>
              </c:strCache>
            </c:strRef>
          </c:cat>
          <c:val>
            <c:numRef>
              <c:f>Sheet2!$B$1:$B$4</c:f>
              <c:numCache>
                <c:formatCode>0.00</c:formatCode>
                <c:ptCount val="4"/>
                <c:pt idx="0">
                  <c:v>2.7827404442989878</c:v>
                </c:pt>
                <c:pt idx="1">
                  <c:v>1.190834362298681</c:v>
                </c:pt>
                <c:pt idx="2">
                  <c:v>1.7486146098377044</c:v>
                </c:pt>
                <c:pt idx="3">
                  <c:v>1.022479857449186</c:v>
                </c:pt>
              </c:numCache>
            </c:numRef>
          </c:val>
        </c:ser>
        <c:dLbls>
          <c:showLegendKey val="0"/>
          <c:showVal val="0"/>
          <c:showCatName val="0"/>
          <c:showSerName val="0"/>
          <c:showPercent val="0"/>
          <c:showBubbleSize val="0"/>
        </c:dLbls>
        <c:gapWidth val="150"/>
        <c:axId val="153115264"/>
        <c:axId val="153379200"/>
      </c:barChart>
      <c:catAx>
        <c:axId val="153115264"/>
        <c:scaling>
          <c:orientation val="minMax"/>
        </c:scaling>
        <c:delete val="0"/>
        <c:axPos val="b"/>
        <c:numFmt formatCode="General" sourceLinked="1"/>
        <c:majorTickMark val="none"/>
        <c:minorTickMark val="none"/>
        <c:tickLblPos val="nextTo"/>
        <c:txPr>
          <a:bodyPr rot="0" vert="horz"/>
          <a:lstStyle/>
          <a:p>
            <a:pPr>
              <a:defRPr/>
            </a:pPr>
            <a:endParaRPr lang="en-US"/>
          </a:p>
        </c:txPr>
        <c:crossAx val="153379200"/>
        <c:crosses val="autoZero"/>
        <c:auto val="1"/>
        <c:lblAlgn val="ctr"/>
        <c:lblOffset val="100"/>
        <c:noMultiLvlLbl val="0"/>
      </c:catAx>
      <c:valAx>
        <c:axId val="153379200"/>
        <c:scaling>
          <c:orientation val="minMax"/>
        </c:scaling>
        <c:delete val="0"/>
        <c:axPos val="l"/>
        <c:title>
          <c:tx>
            <c:rich>
              <a:bodyPr rot="0" vert="horz"/>
              <a:lstStyle/>
              <a:p>
                <a:pPr>
                  <a:defRPr/>
                </a:pPr>
                <a:r>
                  <a:rPr lang="en-US"/>
                  <a:t>De</a:t>
                </a:r>
              </a:p>
            </c:rich>
          </c:tx>
          <c:layout/>
          <c:overlay val="0"/>
        </c:title>
        <c:numFmt formatCode="0.00" sourceLinked="1"/>
        <c:majorTickMark val="none"/>
        <c:minorTickMark val="none"/>
        <c:tickLblPos val="nextTo"/>
        <c:txPr>
          <a:bodyPr rot="0" vert="horz"/>
          <a:lstStyle/>
          <a:p>
            <a:pPr>
              <a:defRPr/>
            </a:pPr>
            <a:endParaRPr lang="en-US"/>
          </a:p>
        </c:txPr>
        <c:crossAx val="153115264"/>
        <c:crosses val="autoZero"/>
        <c:crossBetween val="between"/>
      </c:valAx>
      <c:spPr>
        <a:solidFill>
          <a:schemeClr val="lt1"/>
        </a:solidFill>
        <a:ln w="25402" cap="flat" cmpd="sng" algn="ctr">
          <a:solidFill>
            <a:schemeClr val="dk1"/>
          </a:solidFill>
          <a:prstDash val="solid"/>
        </a:ln>
        <a:effectLst/>
      </c:spPr>
    </c:plotArea>
    <c:plotVisOnly val="1"/>
    <c:dispBlanksAs val="gap"/>
    <c:showDLblsOverMax val="0"/>
  </c:chart>
  <c:spPr>
    <a:solidFill>
      <a:schemeClr val="lt1"/>
    </a:solidFill>
    <a:ln w="25402" cap="flat" cmpd="sng" algn="ctr">
      <a:solidFill>
        <a:schemeClr val="dk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fontScheme name="Default Desig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8FEC9-CD78-415A-B0EC-067F5C7DB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F0301B59</Template>
  <TotalTime>3695</TotalTime>
  <Pages>7</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Chemical Engineering, Texas A&amp;M University</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2015-04-17T15:18:00Z</dcterms:created>
  <dcterms:modified xsi:type="dcterms:W3CDTF">2015-04-20T04:54:00Z</dcterms:modified>
</cp:coreProperties>
</file>